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i w:val="false"/>
          <w:iCs w:val="false"/>
          <w:color w:val="EE3465"/>
          <w:sz w:val="18"/>
          <w:szCs w:val="18"/>
        </w:rPr>
        <w:t xml:space="preserve">AGENCY EVALUATION TOOLKIT</w:t>
      </w:r>
    </w:p>
    <w:p>
      <w:pPr>
        <w:spacing w:after="0" w:line="460"/>
      </w:pPr>
      <w:r>
        <w:rPr>
          <w:rFonts w:ascii="Calibri" w:cs="Calibri" w:eastAsia="Calibri" w:hAnsi="Calibri"/>
          <w:b/>
          <w:bCs/>
          <w:i w:val="false"/>
          <w:iCs w:val="false"/>
          <w:color w:val="111C3F"/>
          <w:sz w:val="44"/>
          <w:szCs w:val="44"/>
        </w:rPr>
        <w:t xml:space="preserve">Questions to Add to the</w:t>
      </w:r>
    </w:p>
    <w:p>
      <w:pPr>
        <w:spacing w:after="160" w:line="460"/>
      </w:pPr>
      <w:r>
        <w:rPr>
          <w:rFonts w:ascii="Calibri" w:cs="Calibri" w:eastAsia="Calibri" w:hAnsi="Calibri"/>
          <w:b/>
          <w:bCs/>
          <w:i w:val="false"/>
          <w:iCs w:val="false"/>
          <w:color w:val="111C3F"/>
          <w:sz w:val="44"/>
          <w:szCs w:val="44"/>
        </w:rPr>
        <w:t xml:space="preserve">Agency Shortlist</w:t>
      </w:r>
    </w:p>
    <w:p>
      <w:pPr>
        <w:pBdr>
          <w:bottom w:val="single" w:color="EE3465" w:sz="12"/>
        </w:pBdr>
        <w:spacing w:after="240"/>
      </w:pPr>
      <w:r>
        <w:rPr>
          <w:rFonts w:ascii="Calibri" w:cs="Calibri" w:eastAsia="Calibri" w:hAnsi="Calibri"/>
          <w:b w:val="false"/>
          <w:bCs w:val="false"/>
          <w:i w:val="false"/>
          <w:iCs w:val="false"/>
          <w:color w:val="4A5068"/>
          <w:sz w:val="2"/>
          <w:szCs w:val="2"/>
        </w:rPr>
        <w:t xml:space="preserve"/>
      </w:r>
    </w:p>
    <w:p>
      <w:pPr>
        <w:spacing w:after="240" w:before="0" w:line="264"/>
      </w:pPr>
      <w:r>
        <w:rPr>
          <w:rFonts w:ascii="Calibri" w:cs="Calibri" w:eastAsia="Calibri" w:hAnsi="Calibri"/>
          <w:b w:val="false"/>
          <w:bCs w:val="false"/>
          <w:i w:val="false"/>
          <w:iCs w:val="false"/>
          <w:color w:val="EE3465"/>
          <w:sz w:val="24"/>
          <w:szCs w:val="24"/>
        </w:rPr>
        <w:t xml:space="preserve">Six questions that separate a strategic partner from a competent order-taker — with the follow-up probes, the answers worth trusting, the warning signs, and the standards to hold agencies to.</w:t>
      </w:r>
    </w:p>
    <w:p>
      <w:pPr>
        <w:spacing w:after="120" w:before="0" w:line="264"/>
      </w:pPr>
      <w:r>
        <w:rPr>
          <w:rFonts w:ascii="Calibri" w:cs="Calibri" w:eastAsia="Calibri" w:hAnsi="Calibri"/>
          <w:b w:val="false"/>
          <w:bCs w:val="false"/>
          <w:i w:val="false"/>
          <w:iCs w:val="false"/>
          <w:color w:val="4A5068"/>
          <w:sz w:val="20"/>
          <w:szCs w:val="20"/>
        </w:rPr>
        <w:t xml:space="preserve">Most agency evaluations fail in the same way. The questions are good, the answers sound reasonable, and nobody writes down what a good answer would actually have contained. Six weeks later the campaign is live and the gaps appear — nobody can authorise a change, the shortlist turns out to be a roster, and the first real performance conversation happens after the budget is spent.</w:t>
      </w:r>
    </w:p>
    <w:p>
      <w:pPr>
        <w:spacing w:after="240" w:before="0" w:line="264"/>
      </w:pPr>
      <w:r>
        <w:rPr>
          <w:rFonts w:ascii="Calibri" w:cs="Calibri" w:eastAsia="Calibri" w:hAnsi="Calibri"/>
          <w:b w:val="false"/>
          <w:bCs w:val="false"/>
          <w:i w:val="false"/>
          <w:iCs w:val="false"/>
          <w:color w:val="4A5068"/>
          <w:sz w:val="20"/>
          <w:szCs w:val="20"/>
        </w:rPr>
        <w:t xml:space="preserve">This document is built to be used in the room. Each question comes with the follow-up probes that force specificity, a side-by-side of strong answers and red flags, a set of benchmarks you can hold agencies to, and space to score and capture evidence while it is fresh. The final pages consolidate everything into a comparison scorecard and a list of clauses to carry into the contract.</w:t>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shd w:fill="FDECF1" w:color="auto" w:val="clear"/>
            <w:tcMar>
              <w:top w:type="dxa" w:w="200"/>
              <w:left w:type="dxa" w:w="240"/>
              <w:bottom w:type="dxa" w:w="200"/>
              <w:right w:type="dxa" w:w="240"/>
            </w:tcMar>
          </w:tcPr>
          <w:p>
            <w:pPr>
              <w:spacing w:after="120"/>
            </w:pPr>
            <w:r>
              <w:rPr>
                <w:rFonts w:ascii="Calibri" w:cs="Calibri" w:eastAsia="Calibri" w:hAnsi="Calibri"/>
                <w:b/>
                <w:bCs/>
                <w:i w:val="false"/>
                <w:iCs w:val="false"/>
                <w:color w:val="EE3465"/>
                <w:sz w:val="17"/>
                <w:szCs w:val="17"/>
              </w:rPr>
              <w:t xml:space="preserve">HOW TO RUN THIS SESSION</w:t>
            </w:r>
          </w:p>
          <w:p>
            <w:pPr>
              <w:spacing w:after="100" w:line="254"/>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bCs/>
                <w:i w:val="false"/>
                <w:iCs w:val="false"/>
                <w:color w:val="111C3F"/>
                <w:sz w:val="19"/>
                <w:szCs w:val="19"/>
              </w:rPr>
              <w:t xml:space="preserve">Send the questions in advance. </w:t>
            </w:r>
            <w:r>
              <w:rPr>
                <w:rFonts w:ascii="Calibri" w:cs="Calibri" w:eastAsia="Calibri" w:hAnsi="Calibri"/>
                <w:b w:val="false"/>
                <w:bCs w:val="false"/>
                <w:i w:val="false"/>
                <w:iCs w:val="false"/>
                <w:color w:val="4A5068"/>
                <w:sz w:val="19"/>
                <w:szCs w:val="19"/>
              </w:rPr>
              <w:t xml:space="preserve">You want considered answers, not improvisation. The quality of a written answer against a live follow-up is itself informative.</w:t>
            </w:r>
          </w:p>
          <w:p>
            <w:pPr>
              <w:spacing w:after="100" w:line="254"/>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bCs/>
                <w:i w:val="false"/>
                <w:iCs w:val="false"/>
                <w:color w:val="111C3F"/>
                <w:sz w:val="19"/>
                <w:szCs w:val="19"/>
              </w:rPr>
              <w:t xml:space="preserve">Insist the delivery team attends. </w:t>
            </w:r>
            <w:r>
              <w:rPr>
                <w:rFonts w:ascii="Calibri" w:cs="Calibri" w:eastAsia="Calibri" w:hAnsi="Calibri"/>
                <w:b w:val="false"/>
                <w:bCs w:val="false"/>
                <w:i w:val="false"/>
                <w:iCs w:val="false"/>
                <w:color w:val="4A5068"/>
                <w:sz w:val="19"/>
                <w:szCs w:val="19"/>
              </w:rPr>
              <w:t xml:space="preserve">If the people in the pitch are not the people who will run the account, you are evaluating the wrong team.</w:t>
            </w:r>
          </w:p>
          <w:p>
            <w:pPr>
              <w:spacing w:after="100" w:line="254"/>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bCs/>
                <w:i w:val="false"/>
                <w:iCs w:val="false"/>
                <w:color w:val="111C3F"/>
                <w:sz w:val="19"/>
                <w:szCs w:val="19"/>
              </w:rPr>
              <w:t xml:space="preserve">Score during the meeting. </w:t>
            </w:r>
            <w:r>
              <w:rPr>
                <w:rFonts w:ascii="Calibri" w:cs="Calibri" w:eastAsia="Calibri" w:hAnsi="Calibri"/>
                <w:b w:val="false"/>
                <w:bCs w:val="false"/>
                <w:i w:val="false"/>
                <w:iCs w:val="false"/>
                <w:color w:val="4A5068"/>
                <w:sz w:val="19"/>
                <w:szCs w:val="19"/>
              </w:rPr>
              <w:t xml:space="preserve">Impressions decay within hours and pitch charisma outlasts detail. Capture the evidence verbatim while you have it.</w:t>
            </w:r>
          </w:p>
          <w:p>
            <w:pPr>
              <w:spacing w:after="100" w:line="254"/>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bCs/>
                <w:i w:val="false"/>
                <w:iCs w:val="false"/>
                <w:color w:val="111C3F"/>
                <w:sz w:val="19"/>
                <w:szCs w:val="19"/>
              </w:rPr>
              <w:t xml:space="preserve">Bring someone who will run the account daily. </w:t>
            </w:r>
            <w:r>
              <w:rPr>
                <w:rFonts w:ascii="Calibri" w:cs="Calibri" w:eastAsia="Calibri" w:hAnsi="Calibri"/>
                <w:b w:val="false"/>
                <w:bCs w:val="false"/>
                <w:i w:val="false"/>
                <w:iCs w:val="false"/>
                <w:color w:val="4A5068"/>
                <w:sz w:val="19"/>
                <w:szCs w:val="19"/>
              </w:rPr>
              <w:t xml:space="preserve">Procurement and brand leads hear different things than the person who will chase a content pull on a Friday night.</w:t>
            </w:r>
          </w:p>
          <w:p>
            <w:pPr>
              <w:spacing w:after="100" w:line="254"/>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bCs/>
                <w:i w:val="false"/>
                <w:iCs w:val="false"/>
                <w:color w:val="111C3F"/>
                <w:sz w:val="19"/>
                <w:szCs w:val="19"/>
              </w:rPr>
              <w:t xml:space="preserve">Score every agency on the same questions in the same order. </w:t>
            </w:r>
            <w:r>
              <w:rPr>
                <w:rFonts w:ascii="Calibri" w:cs="Calibri" w:eastAsia="Calibri" w:hAnsi="Calibri"/>
                <w:b w:val="false"/>
                <w:bCs w:val="false"/>
                <w:i w:val="false"/>
                <w:iCs w:val="false"/>
                <w:color w:val="4A5068"/>
                <w:sz w:val="19"/>
                <w:szCs w:val="19"/>
              </w:rPr>
              <w:t xml:space="preserve">Comparability is the entire point of a scorecard.</w:t>
            </w:r>
          </w:p>
        </w:tc>
      </w:tr>
    </w:tbl>
    <w:p>
      <w:r>
        <w:br w:type="page"/>
      </w:r>
    </w:p>
    <w:p>
      <w:pPr>
        <w:spacing w:after="120" w:line="400"/>
      </w:pPr>
      <w:r>
        <w:rPr>
          <w:rFonts w:ascii="Calibri" w:cs="Calibri" w:eastAsia="Calibri" w:hAnsi="Calibri"/>
          <w:b/>
          <w:bCs/>
          <w:i w:val="false"/>
          <w:iCs w:val="false"/>
          <w:color w:val="111C3F"/>
          <w:sz w:val="34"/>
          <w:szCs w:val="34"/>
        </w:rPr>
        <w:t xml:space="preserve">The Scoring Model</w:t>
      </w:r>
    </w:p>
    <w:p>
      <w:pPr>
        <w:pBdr>
          <w:bottom w:val="single" w:color="EE3465" w:sz="10"/>
        </w:pBdr>
        <w:spacing w:after="200"/>
      </w:pPr>
      <w:r>
        <w:rPr>
          <w:rFonts w:ascii="Calibri" w:cs="Calibri" w:eastAsia="Calibri" w:hAnsi="Calibri"/>
          <w:b w:val="false"/>
          <w:bCs w:val="false"/>
          <w:i w:val="false"/>
          <w:iCs w:val="false"/>
          <w:color w:val="4A5068"/>
          <w:sz w:val="2"/>
          <w:szCs w:val="2"/>
        </w:rPr>
        <w:t xml:space="preserve"/>
      </w:r>
    </w:p>
    <w:p>
      <w:pPr>
        <w:spacing w:after="200" w:before="0" w:line="264"/>
      </w:pPr>
      <w:r>
        <w:rPr>
          <w:rFonts w:ascii="Calibri" w:cs="Calibri" w:eastAsia="Calibri" w:hAnsi="Calibri"/>
          <w:b w:val="false"/>
          <w:bCs w:val="false"/>
          <w:i w:val="false"/>
          <w:iCs w:val="false"/>
          <w:color w:val="4A5068"/>
          <w:sz w:val="20"/>
          <w:szCs w:val="20"/>
        </w:rPr>
        <w:t xml:space="preserve">Score each of the six questions from 0 to 3. The scale is deliberately narrow — it forces a judgement about evidence rather than a general feeling about the agency.</w:t>
      </w:r>
    </w:p>
    <w:tbl>
      <w:tblPr>
        <w:tblW w:type="dxa" w:w="9026"/>
        <w:tblBorders>
          <w:top w:val="single" w:color="DFE1E8" w:sz="4"/>
          <w:left w:val="single" w:color="DFE1E8" w:sz="4"/>
          <w:bottom w:val="single" w:color="DFE1E8" w:sz="4"/>
          <w:right w:val="single" w:color="DFE1E8" w:sz="4"/>
          <w:insideH w:val="single" w:color="DFE1E8" w:sz="4"/>
          <w:insideV w:val="single" w:color="DFE1E8" w:sz="4"/>
        </w:tblBorders>
      </w:tblPr>
      <w:tblGrid>
        <w:gridCol w:w="700"/>
        <w:gridCol w:w="2400"/>
        <w:gridCol w:w="5926"/>
      </w:tblGrid>
      <w:tr>
        <w:trPr>
          <w:tblHeader/>
        </w:trPr>
        <w:tc>
          <w:tcPr>
            <w:tcW w:type="dxa" w:w="700"/>
            <w:shd w:fill="111C3F" w:color="auto" w:val="clear"/>
            <w:tcMar>
              <w:top w:type="dxa" w:w="100"/>
              <w:left w:type="dxa" w:w="160"/>
              <w:bottom w:type="dxa" w:w="100"/>
              <w:right w:type="dxa" w:w="160"/>
            </w:tcMar>
          </w:tcPr>
          <w:p>
            <w:pPr>
              <w:spacing w:after="0"/>
            </w:pPr>
            <w:r>
              <w:rPr>
                <w:rFonts w:ascii="Calibri" w:cs="Calibri" w:eastAsia="Calibri" w:hAnsi="Calibri"/>
                <w:b/>
                <w:bCs/>
                <w:i w:val="false"/>
                <w:iCs w:val="false"/>
                <w:color w:val="FFFFFF"/>
                <w:sz w:val="15"/>
                <w:szCs w:val="15"/>
              </w:rPr>
              <w:t xml:space="preserve">SCORE</w:t>
            </w:r>
          </w:p>
        </w:tc>
        <w:tc>
          <w:tcPr>
            <w:tcW w:type="dxa" w:w="2400"/>
            <w:shd w:fill="111C3F" w:color="auto" w:val="clear"/>
            <w:tcMar>
              <w:top w:type="dxa" w:w="100"/>
              <w:left w:type="dxa" w:w="160"/>
              <w:bottom w:type="dxa" w:w="100"/>
              <w:right w:type="dxa" w:w="160"/>
            </w:tcMar>
          </w:tcPr>
          <w:p>
            <w:pPr>
              <w:spacing w:after="0"/>
            </w:pPr>
            <w:r>
              <w:rPr>
                <w:rFonts w:ascii="Calibri" w:cs="Calibri" w:eastAsia="Calibri" w:hAnsi="Calibri"/>
                <w:b/>
                <w:bCs/>
                <w:i w:val="false"/>
                <w:iCs w:val="false"/>
                <w:color w:val="FFFFFF"/>
                <w:sz w:val="15"/>
                <w:szCs w:val="15"/>
              </w:rPr>
              <w:t xml:space="preserve">MEANING</w:t>
            </w:r>
          </w:p>
        </w:tc>
        <w:tc>
          <w:tcPr>
            <w:tcW w:type="dxa" w:w="5926"/>
            <w:shd w:fill="111C3F" w:color="auto" w:val="clear"/>
            <w:tcMar>
              <w:top w:type="dxa" w:w="100"/>
              <w:left w:type="dxa" w:w="160"/>
              <w:bottom w:type="dxa" w:w="100"/>
              <w:right w:type="dxa" w:w="160"/>
            </w:tcMar>
          </w:tcPr>
          <w:p>
            <w:pPr>
              <w:spacing w:after="0"/>
            </w:pPr>
            <w:r>
              <w:rPr>
                <w:rFonts w:ascii="Calibri" w:cs="Calibri" w:eastAsia="Calibri" w:hAnsi="Calibri"/>
                <w:b/>
                <w:bCs/>
                <w:i w:val="false"/>
                <w:iCs w:val="false"/>
                <w:color w:val="FFFFFF"/>
                <w:sz w:val="15"/>
                <w:szCs w:val="15"/>
              </w:rPr>
              <w:t xml:space="preserve">WHAT IT LOOKS LIKE</w:t>
            </w:r>
          </w:p>
        </w:tc>
      </w:tr>
      <w:tr>
        <w:tc>
          <w:tcPr>
            <w:tcW w:type="dxa" w:w="700"/>
            <w:shd w:fill="FDECF1" w:color="auto" w:val="clear"/>
            <w:tcMar>
              <w:top w:type="dxa" w:w="120"/>
              <w:left w:type="dxa" w:w="160"/>
              <w:bottom w:type="dxa" w:w="120"/>
              <w:right w:type="dxa" w:w="160"/>
            </w:tcMar>
            <w:vAlign w:val="center"/>
          </w:tcPr>
          <w:p>
            <w:pPr>
              <w:spacing w:after="0" w:line="250"/>
              <w:jc w:val="center"/>
            </w:pPr>
            <w:r>
              <w:rPr>
                <w:rFonts w:ascii="Calibri" w:cs="Calibri" w:eastAsia="Calibri" w:hAnsi="Calibri"/>
                <w:b/>
                <w:bCs/>
                <w:i w:val="false"/>
                <w:iCs w:val="false"/>
                <w:color w:val="EE3465"/>
                <w:sz w:val="19"/>
                <w:szCs w:val="19"/>
              </w:rPr>
              <w:t xml:space="preserve">3</w:t>
            </w:r>
          </w:p>
        </w:tc>
        <w:tc>
          <w:tcPr>
            <w:tcW w:type="dxa" w:w="2400"/>
            <w:tcMar>
              <w:top w:type="dxa" w:w="120"/>
              <w:left w:type="dxa" w:w="160"/>
              <w:bottom w:type="dxa" w:w="120"/>
              <w:right w:type="dxa" w:w="160"/>
            </w:tcMar>
            <w:vAlign w:val="center"/>
          </w:tcPr>
          <w:p>
            <w:pPr>
              <w:spacing w:after="0" w:line="250"/>
            </w:pPr>
            <w:r>
              <w:rPr>
                <w:rFonts w:ascii="Calibri" w:cs="Calibri" w:eastAsia="Calibri" w:hAnsi="Calibri"/>
                <w:b/>
                <w:bCs/>
                <w:i w:val="false"/>
                <w:iCs w:val="false"/>
                <w:color w:val="111C3F"/>
                <w:sz w:val="19"/>
                <w:szCs w:val="19"/>
              </w:rPr>
              <w:t xml:space="preserve">Specific and evidenced</w:t>
            </w:r>
          </w:p>
        </w:tc>
        <w:tc>
          <w:tcPr>
            <w:tcW w:type="dxa" w:w="5926"/>
            <w:tcMar>
              <w:top w:type="dxa" w:w="120"/>
              <w:left w:type="dxa" w:w="160"/>
              <w:bottom w:type="dxa" w:w="120"/>
              <w:right w:type="dxa" w:w="160"/>
            </w:tcMar>
            <w:vAlign w:val="center"/>
          </w:tcPr>
          <w:p>
            <w:pPr>
              <w:spacing w:after="0" w:line="250"/>
            </w:pPr>
            <w:r>
              <w:rPr>
                <w:rFonts w:ascii="Calibri" w:cs="Calibri" w:eastAsia="Calibri" w:hAnsi="Calibri"/>
                <w:b w:val="false"/>
                <w:bCs w:val="false"/>
                <w:i w:val="false"/>
                <w:iCs w:val="false"/>
                <w:color w:val="4A5068"/>
                <w:sz w:val="19"/>
                <w:szCs w:val="19"/>
              </w:rPr>
              <w:t xml:space="preserve">Named people, real numbers, dates, documents offered unprompted. Volunteers the uncomfortable parts.</w:t>
            </w:r>
          </w:p>
        </w:tc>
      </w:tr>
      <w:tr>
        <w:tc>
          <w:tcPr>
            <w:tcW w:type="dxa" w:w="700"/>
            <w:shd w:fill="FDECF1" w:color="auto" w:val="clear"/>
            <w:tcMar>
              <w:top w:type="dxa" w:w="120"/>
              <w:left w:type="dxa" w:w="160"/>
              <w:bottom w:type="dxa" w:w="120"/>
              <w:right w:type="dxa" w:w="160"/>
            </w:tcMar>
            <w:vAlign w:val="center"/>
          </w:tcPr>
          <w:p>
            <w:pPr>
              <w:spacing w:after="0" w:line="250"/>
              <w:jc w:val="center"/>
            </w:pPr>
            <w:r>
              <w:rPr>
                <w:rFonts w:ascii="Calibri" w:cs="Calibri" w:eastAsia="Calibri" w:hAnsi="Calibri"/>
                <w:b/>
                <w:bCs/>
                <w:i w:val="false"/>
                <w:iCs w:val="false"/>
                <w:color w:val="EE3465"/>
                <w:sz w:val="19"/>
                <w:szCs w:val="19"/>
              </w:rPr>
              <w:t xml:space="preserve">2</w:t>
            </w:r>
          </w:p>
        </w:tc>
        <w:tc>
          <w:tcPr>
            <w:tcW w:type="dxa" w:w="2400"/>
            <w:tcMar>
              <w:top w:type="dxa" w:w="120"/>
              <w:left w:type="dxa" w:w="160"/>
              <w:bottom w:type="dxa" w:w="120"/>
              <w:right w:type="dxa" w:w="160"/>
            </w:tcMar>
            <w:vAlign w:val="center"/>
          </w:tcPr>
          <w:p>
            <w:pPr>
              <w:spacing w:after="0" w:line="250"/>
            </w:pPr>
            <w:r>
              <w:rPr>
                <w:rFonts w:ascii="Calibri" w:cs="Calibri" w:eastAsia="Calibri" w:hAnsi="Calibri"/>
                <w:b/>
                <w:bCs/>
                <w:i w:val="false"/>
                <w:iCs w:val="false"/>
                <w:color w:val="111C3F"/>
                <w:sz w:val="19"/>
                <w:szCs w:val="19"/>
              </w:rPr>
              <w:t xml:space="preserve">Solid but general</w:t>
            </w:r>
          </w:p>
        </w:tc>
        <w:tc>
          <w:tcPr>
            <w:tcW w:type="dxa" w:w="5926"/>
            <w:tcMar>
              <w:top w:type="dxa" w:w="120"/>
              <w:left w:type="dxa" w:w="160"/>
              <w:bottom w:type="dxa" w:w="120"/>
              <w:right w:type="dxa" w:w="160"/>
            </w:tcMar>
            <w:vAlign w:val="center"/>
          </w:tcPr>
          <w:p>
            <w:pPr>
              <w:spacing w:after="0" w:line="250"/>
            </w:pPr>
            <w:r>
              <w:rPr>
                <w:rFonts w:ascii="Calibri" w:cs="Calibri" w:eastAsia="Calibri" w:hAnsi="Calibri"/>
                <w:b w:val="false"/>
                <w:bCs w:val="false"/>
                <w:i w:val="false"/>
                <w:iCs w:val="false"/>
                <w:color w:val="4A5068"/>
                <w:sz w:val="19"/>
                <w:szCs w:val="19"/>
              </w:rPr>
              <w:t xml:space="preserve">A credible process is described, but without specifics, thresholds, or examples you could verify.</w:t>
            </w:r>
          </w:p>
        </w:tc>
      </w:tr>
      <w:tr>
        <w:tc>
          <w:tcPr>
            <w:tcW w:type="dxa" w:w="700"/>
            <w:shd w:fill="FDECF1" w:color="auto" w:val="clear"/>
            <w:tcMar>
              <w:top w:type="dxa" w:w="120"/>
              <w:left w:type="dxa" w:w="160"/>
              <w:bottom w:type="dxa" w:w="120"/>
              <w:right w:type="dxa" w:w="160"/>
            </w:tcMar>
            <w:vAlign w:val="center"/>
          </w:tcPr>
          <w:p>
            <w:pPr>
              <w:spacing w:after="0" w:line="250"/>
              <w:jc w:val="center"/>
            </w:pPr>
            <w:r>
              <w:rPr>
                <w:rFonts w:ascii="Calibri" w:cs="Calibri" w:eastAsia="Calibri" w:hAnsi="Calibri"/>
                <w:b/>
                <w:bCs/>
                <w:i w:val="false"/>
                <w:iCs w:val="false"/>
                <w:color w:val="EE3465"/>
                <w:sz w:val="19"/>
                <w:szCs w:val="19"/>
              </w:rPr>
              <w:t xml:space="preserve">1</w:t>
            </w:r>
          </w:p>
        </w:tc>
        <w:tc>
          <w:tcPr>
            <w:tcW w:type="dxa" w:w="2400"/>
            <w:tcMar>
              <w:top w:type="dxa" w:w="120"/>
              <w:left w:type="dxa" w:w="160"/>
              <w:bottom w:type="dxa" w:w="120"/>
              <w:right w:type="dxa" w:w="160"/>
            </w:tcMar>
            <w:vAlign w:val="center"/>
          </w:tcPr>
          <w:p>
            <w:pPr>
              <w:spacing w:after="0" w:line="250"/>
            </w:pPr>
            <w:r>
              <w:rPr>
                <w:rFonts w:ascii="Calibri" w:cs="Calibri" w:eastAsia="Calibri" w:hAnsi="Calibri"/>
                <w:b/>
                <w:bCs/>
                <w:i w:val="false"/>
                <w:iCs w:val="false"/>
                <w:color w:val="111C3F"/>
                <w:sz w:val="19"/>
                <w:szCs w:val="19"/>
              </w:rPr>
              <w:t xml:space="preserve">Generic</w:t>
            </w:r>
          </w:p>
        </w:tc>
        <w:tc>
          <w:tcPr>
            <w:tcW w:type="dxa" w:w="5926"/>
            <w:tcMar>
              <w:top w:type="dxa" w:w="120"/>
              <w:left w:type="dxa" w:w="160"/>
              <w:bottom w:type="dxa" w:w="120"/>
              <w:right w:type="dxa" w:w="160"/>
            </w:tcMar>
            <w:vAlign w:val="center"/>
          </w:tcPr>
          <w:p>
            <w:pPr>
              <w:spacing w:after="0" w:line="250"/>
            </w:pPr>
            <w:r>
              <w:rPr>
                <w:rFonts w:ascii="Calibri" w:cs="Calibri" w:eastAsia="Calibri" w:hAnsi="Calibri"/>
                <w:b w:val="false"/>
                <w:bCs w:val="false"/>
                <w:i w:val="false"/>
                <w:iCs w:val="false"/>
                <w:color w:val="4A5068"/>
                <w:sz w:val="19"/>
                <w:szCs w:val="19"/>
              </w:rPr>
              <w:t xml:space="preserve">Reasonable-sounding language that would apply to any agency. Deflects follow-ups.</w:t>
            </w:r>
          </w:p>
        </w:tc>
      </w:tr>
      <w:tr>
        <w:tc>
          <w:tcPr>
            <w:tcW w:type="dxa" w:w="700"/>
            <w:shd w:fill="FDECF1" w:color="auto" w:val="clear"/>
            <w:tcMar>
              <w:top w:type="dxa" w:w="120"/>
              <w:left w:type="dxa" w:w="160"/>
              <w:bottom w:type="dxa" w:w="120"/>
              <w:right w:type="dxa" w:w="160"/>
            </w:tcMar>
            <w:vAlign w:val="center"/>
          </w:tcPr>
          <w:p>
            <w:pPr>
              <w:spacing w:after="0" w:line="250"/>
              <w:jc w:val="center"/>
            </w:pPr>
            <w:r>
              <w:rPr>
                <w:rFonts w:ascii="Calibri" w:cs="Calibri" w:eastAsia="Calibri" w:hAnsi="Calibri"/>
                <w:b/>
                <w:bCs/>
                <w:i w:val="false"/>
                <w:iCs w:val="false"/>
                <w:color w:val="EE3465"/>
                <w:sz w:val="19"/>
                <w:szCs w:val="19"/>
              </w:rPr>
              <w:t xml:space="preserve">0</w:t>
            </w:r>
          </w:p>
        </w:tc>
        <w:tc>
          <w:tcPr>
            <w:tcW w:type="dxa" w:w="2400"/>
            <w:tcMar>
              <w:top w:type="dxa" w:w="120"/>
              <w:left w:type="dxa" w:w="160"/>
              <w:bottom w:type="dxa" w:w="120"/>
              <w:right w:type="dxa" w:w="160"/>
            </w:tcMar>
            <w:vAlign w:val="center"/>
          </w:tcPr>
          <w:p>
            <w:pPr>
              <w:spacing w:after="0" w:line="250"/>
            </w:pPr>
            <w:r>
              <w:rPr>
                <w:rFonts w:ascii="Calibri" w:cs="Calibri" w:eastAsia="Calibri" w:hAnsi="Calibri"/>
                <w:b/>
                <w:bCs/>
                <w:i w:val="false"/>
                <w:iCs w:val="false"/>
                <w:color w:val="111C3F"/>
                <w:sz w:val="19"/>
                <w:szCs w:val="19"/>
              </w:rPr>
              <w:t xml:space="preserve">Absent or a red flag</w:t>
            </w:r>
          </w:p>
        </w:tc>
        <w:tc>
          <w:tcPr>
            <w:tcW w:type="dxa" w:w="5926"/>
            <w:tcMar>
              <w:top w:type="dxa" w:w="120"/>
              <w:left w:type="dxa" w:w="160"/>
              <w:bottom w:type="dxa" w:w="120"/>
              <w:right w:type="dxa" w:w="160"/>
            </w:tcMar>
            <w:vAlign w:val="center"/>
          </w:tcPr>
          <w:p>
            <w:pPr>
              <w:spacing w:after="0" w:line="250"/>
            </w:pPr>
            <w:r>
              <w:rPr>
                <w:rFonts w:ascii="Calibri" w:cs="Calibri" w:eastAsia="Calibri" w:hAnsi="Calibri"/>
                <w:b w:val="false"/>
                <w:bCs w:val="false"/>
                <w:i w:val="false"/>
                <w:iCs w:val="false"/>
                <w:color w:val="4A5068"/>
                <w:sz w:val="19"/>
                <w:szCs w:val="19"/>
              </w:rPr>
              <w:t xml:space="preserve">Cannot answer, will not answer, or the answer surfaces an undisclosed conflict.</w:t>
            </w:r>
          </w:p>
        </w:tc>
      </w:tr>
    </w:tbl>
    <w:p>
      <w:pPr>
        <w:spacing w:after="80" w:before="180"/>
      </w:pPr>
      <w:r>
        <w:rPr>
          <w:rFonts w:ascii="Calibri" w:cs="Calibri" w:eastAsia="Calibri" w:hAnsi="Calibri"/>
          <w:b/>
          <w:bCs/>
          <w:i w:val="false"/>
          <w:iCs w:val="false"/>
          <w:color w:val="EE3465"/>
          <w:sz w:val="16"/>
          <w:szCs w:val="16"/>
        </w:rPr>
        <w:t xml:space="preserve">READING THE TOTAL — MAXIMUM SCORE 18</w:t>
      </w:r>
    </w:p>
    <w:tbl>
      <w:tblPr>
        <w:tblW w:type="dxa" w:w="9026"/>
        <w:tblBorders>
          <w:top w:val="none" w:color="FFFFFF" w:sz="0"/>
          <w:left w:val="none" w:color="FFFFFF" w:sz="0"/>
          <w:bottom w:val="none" w:color="FFFFFF" w:sz="0"/>
          <w:right w:val="none" w:color="FFFFFF" w:sz="0"/>
          <w:insideH w:val="single" w:color="DFE1E8" w:sz="4"/>
          <w:insideV w:val="none" w:color="FFFFFF" w:sz="0"/>
        </w:tblBorders>
      </w:tblPr>
      <w:tblGrid>
        <w:gridCol w:w="1200"/>
        <w:gridCol w:w="2500"/>
        <w:gridCol w:w="5326"/>
      </w:tblGrid>
      <w:tr>
        <w:tc>
          <w:tcPr>
            <w:tcW w:type="dxa" w:w="1200"/>
            <w:tcMar>
              <w:top w:type="dxa" w:w="130"/>
              <w:left w:type="dxa" w:w="0"/>
              <w:bottom w:type="dxa" w:w="130"/>
              <w:right w:type="dxa" w:w="160"/>
            </w:tcMar>
          </w:tcPr>
          <w:p>
            <w:pPr>
              <w:spacing w:after="0" w:line="250"/>
            </w:pPr>
            <w:r>
              <w:rPr>
                <w:rFonts w:ascii="Calibri" w:cs="Calibri" w:eastAsia="Calibri" w:hAnsi="Calibri"/>
                <w:b/>
                <w:bCs/>
                <w:i w:val="false"/>
                <w:iCs w:val="false"/>
                <w:color w:val="EE3465"/>
                <w:sz w:val="19"/>
                <w:szCs w:val="19"/>
              </w:rPr>
              <w:t xml:space="preserve">15–18</w:t>
            </w:r>
          </w:p>
        </w:tc>
        <w:tc>
          <w:tcPr>
            <w:tcW w:type="dxa" w:w="2500"/>
            <w:tcMar>
              <w:top w:type="dxa" w:w="130"/>
              <w:left w:type="dxa" w:w="160"/>
              <w:bottom w:type="dxa" w:w="130"/>
              <w:right w:type="dxa" w:w="160"/>
            </w:tcMar>
          </w:tcPr>
          <w:p>
            <w:pPr>
              <w:spacing w:after="0" w:line="250"/>
            </w:pPr>
            <w:r>
              <w:rPr>
                <w:rFonts w:ascii="Calibri" w:cs="Calibri" w:eastAsia="Calibri" w:hAnsi="Calibri"/>
                <w:b/>
                <w:bCs/>
                <w:i w:val="false"/>
                <w:iCs w:val="false"/>
                <w:color w:val="111C3F"/>
                <w:sz w:val="19"/>
                <w:szCs w:val="19"/>
              </w:rPr>
              <w:t xml:space="preserve">Strategic partner</w:t>
            </w:r>
          </w:p>
        </w:tc>
        <w:tc>
          <w:tcPr>
            <w:tcW w:type="dxa" w:w="5326"/>
            <w:tcMar>
              <w:top w:type="dxa" w:w="130"/>
              <w:left w:type="dxa" w:w="160"/>
              <w:bottom w:type="dxa" w:w="130"/>
              <w:right w:type="dxa" w:w="160"/>
            </w:tcMar>
          </w:tcPr>
          <w:p>
            <w:pPr>
              <w:spacing w:after="0" w:line="250"/>
            </w:pPr>
            <w:r>
              <w:rPr>
                <w:rFonts w:ascii="Calibri" w:cs="Calibri" w:eastAsia="Calibri" w:hAnsi="Calibri"/>
                <w:b w:val="false"/>
                <w:bCs w:val="false"/>
                <w:i w:val="false"/>
                <w:iCs w:val="false"/>
                <w:color w:val="4A5068"/>
                <w:sz w:val="19"/>
                <w:szCs w:val="19"/>
              </w:rPr>
              <w:t xml:space="preserve">Proceed. Carry their own stated thresholds into the contract so the standard survives the account team.</w:t>
            </w:r>
          </w:p>
        </w:tc>
      </w:tr>
      <w:tr>
        <w:tc>
          <w:tcPr>
            <w:tcW w:type="dxa" w:w="1200"/>
            <w:tcMar>
              <w:top w:type="dxa" w:w="130"/>
              <w:left w:type="dxa" w:w="0"/>
              <w:bottom w:type="dxa" w:w="130"/>
              <w:right w:type="dxa" w:w="160"/>
            </w:tcMar>
          </w:tcPr>
          <w:p>
            <w:pPr>
              <w:spacing w:after="0" w:line="250"/>
            </w:pPr>
            <w:r>
              <w:rPr>
                <w:rFonts w:ascii="Calibri" w:cs="Calibri" w:eastAsia="Calibri" w:hAnsi="Calibri"/>
                <w:b/>
                <w:bCs/>
                <w:i w:val="false"/>
                <w:iCs w:val="false"/>
                <w:color w:val="EE3465"/>
                <w:sz w:val="19"/>
                <w:szCs w:val="19"/>
              </w:rPr>
              <w:t xml:space="preserve">11–14</w:t>
            </w:r>
          </w:p>
        </w:tc>
        <w:tc>
          <w:tcPr>
            <w:tcW w:type="dxa" w:w="2500"/>
            <w:tcMar>
              <w:top w:type="dxa" w:w="130"/>
              <w:left w:type="dxa" w:w="160"/>
              <w:bottom w:type="dxa" w:w="130"/>
              <w:right w:type="dxa" w:w="160"/>
            </w:tcMar>
          </w:tcPr>
          <w:p>
            <w:pPr>
              <w:spacing w:after="0" w:line="250"/>
            </w:pPr>
            <w:r>
              <w:rPr>
                <w:rFonts w:ascii="Calibri" w:cs="Calibri" w:eastAsia="Calibri" w:hAnsi="Calibri"/>
                <w:b/>
                <w:bCs/>
                <w:i w:val="false"/>
                <w:iCs w:val="false"/>
                <w:color w:val="111C3F"/>
                <w:sz w:val="19"/>
                <w:szCs w:val="19"/>
              </w:rPr>
              <w:t xml:space="preserve">Capable executor</w:t>
            </w:r>
          </w:p>
        </w:tc>
        <w:tc>
          <w:tcPr>
            <w:tcW w:type="dxa" w:w="5326"/>
            <w:tcMar>
              <w:top w:type="dxa" w:w="130"/>
              <w:left w:type="dxa" w:w="160"/>
              <w:bottom w:type="dxa" w:w="130"/>
              <w:right w:type="dxa" w:w="160"/>
            </w:tcMar>
          </w:tcPr>
          <w:p>
            <w:pPr>
              <w:spacing w:after="0" w:line="250"/>
            </w:pPr>
            <w:r>
              <w:rPr>
                <w:rFonts w:ascii="Calibri" w:cs="Calibri" w:eastAsia="Calibri" w:hAnsi="Calibri"/>
                <w:b w:val="false"/>
                <w:bCs w:val="false"/>
                <w:i w:val="false"/>
                <w:iCs w:val="false"/>
                <w:color w:val="4A5068"/>
                <w:sz w:val="19"/>
                <w:szCs w:val="19"/>
              </w:rPr>
              <w:t xml:space="preserve">Workable, but the governance gaps must be closed contractually before award — not assumed away.</w:t>
            </w:r>
          </w:p>
        </w:tc>
      </w:tr>
      <w:tr>
        <w:tc>
          <w:tcPr>
            <w:tcW w:type="dxa" w:w="1200"/>
            <w:tcMar>
              <w:top w:type="dxa" w:w="130"/>
              <w:left w:type="dxa" w:w="0"/>
              <w:bottom w:type="dxa" w:w="130"/>
              <w:right w:type="dxa" w:w="160"/>
            </w:tcMar>
          </w:tcPr>
          <w:p>
            <w:pPr>
              <w:spacing w:after="0" w:line="250"/>
            </w:pPr>
            <w:r>
              <w:rPr>
                <w:rFonts w:ascii="Calibri" w:cs="Calibri" w:eastAsia="Calibri" w:hAnsi="Calibri"/>
                <w:b/>
                <w:bCs/>
                <w:i w:val="false"/>
                <w:iCs w:val="false"/>
                <w:color w:val="EE3465"/>
                <w:sz w:val="19"/>
                <w:szCs w:val="19"/>
              </w:rPr>
              <w:t xml:space="preserve">7–10</w:t>
            </w:r>
          </w:p>
        </w:tc>
        <w:tc>
          <w:tcPr>
            <w:tcW w:type="dxa" w:w="2500"/>
            <w:tcMar>
              <w:top w:type="dxa" w:w="130"/>
              <w:left w:type="dxa" w:w="160"/>
              <w:bottom w:type="dxa" w:w="130"/>
              <w:right w:type="dxa" w:w="160"/>
            </w:tcMar>
          </w:tcPr>
          <w:p>
            <w:pPr>
              <w:spacing w:after="0" w:line="250"/>
            </w:pPr>
            <w:r>
              <w:rPr>
                <w:rFonts w:ascii="Calibri" w:cs="Calibri" w:eastAsia="Calibri" w:hAnsi="Calibri"/>
                <w:b/>
                <w:bCs/>
                <w:i w:val="false"/>
                <w:iCs w:val="false"/>
                <w:color w:val="111C3F"/>
                <w:sz w:val="19"/>
                <w:szCs w:val="19"/>
              </w:rPr>
              <w:t xml:space="preserve">Significant gaps</w:t>
            </w:r>
          </w:p>
        </w:tc>
        <w:tc>
          <w:tcPr>
            <w:tcW w:type="dxa" w:w="5326"/>
            <w:tcMar>
              <w:top w:type="dxa" w:w="130"/>
              <w:left w:type="dxa" w:w="160"/>
              <w:bottom w:type="dxa" w:w="130"/>
              <w:right w:type="dxa" w:w="160"/>
            </w:tcMar>
          </w:tcPr>
          <w:p>
            <w:pPr>
              <w:spacing w:after="0" w:line="250"/>
            </w:pPr>
            <w:r>
              <w:rPr>
                <w:rFonts w:ascii="Calibri" w:cs="Calibri" w:eastAsia="Calibri" w:hAnsi="Calibri"/>
                <w:b w:val="false"/>
                <w:bCs w:val="false"/>
                <w:i w:val="false"/>
                <w:iCs w:val="false"/>
                <w:color w:val="4A5068"/>
                <w:sz w:val="19"/>
                <w:szCs w:val="19"/>
              </w:rPr>
              <w:t xml:space="preserve">Do not award without written remediation. Weak scores on questions 1 and 3 are the expensive ones.</w:t>
            </w:r>
          </w:p>
        </w:tc>
      </w:tr>
      <w:tr>
        <w:tc>
          <w:tcPr>
            <w:tcW w:type="dxa" w:w="1200"/>
            <w:tcMar>
              <w:top w:type="dxa" w:w="130"/>
              <w:left w:type="dxa" w:w="0"/>
              <w:bottom w:type="dxa" w:w="130"/>
              <w:right w:type="dxa" w:w="160"/>
            </w:tcMar>
          </w:tcPr>
          <w:p>
            <w:pPr>
              <w:spacing w:after="0" w:line="250"/>
            </w:pPr>
            <w:r>
              <w:rPr>
                <w:rFonts w:ascii="Calibri" w:cs="Calibri" w:eastAsia="Calibri" w:hAnsi="Calibri"/>
                <w:b/>
                <w:bCs/>
                <w:i w:val="false"/>
                <w:iCs w:val="false"/>
                <w:color w:val="EE3465"/>
                <w:sz w:val="19"/>
                <w:szCs w:val="19"/>
              </w:rPr>
              <w:t xml:space="preserve">0–6</w:t>
            </w:r>
          </w:p>
        </w:tc>
        <w:tc>
          <w:tcPr>
            <w:tcW w:type="dxa" w:w="2500"/>
            <w:tcMar>
              <w:top w:type="dxa" w:w="130"/>
              <w:left w:type="dxa" w:w="160"/>
              <w:bottom w:type="dxa" w:w="130"/>
              <w:right w:type="dxa" w:w="160"/>
            </w:tcMar>
          </w:tcPr>
          <w:p>
            <w:pPr>
              <w:spacing w:after="0" w:line="250"/>
            </w:pPr>
            <w:r>
              <w:rPr>
                <w:rFonts w:ascii="Calibri" w:cs="Calibri" w:eastAsia="Calibri" w:hAnsi="Calibri"/>
                <w:b/>
                <w:bCs/>
                <w:i w:val="false"/>
                <w:iCs w:val="false"/>
                <w:color w:val="111C3F"/>
                <w:sz w:val="19"/>
                <w:szCs w:val="19"/>
              </w:rPr>
              <w:t xml:space="preserve">Not shortlist-ready</w:t>
            </w:r>
          </w:p>
        </w:tc>
        <w:tc>
          <w:tcPr>
            <w:tcW w:type="dxa" w:w="5326"/>
            <w:tcMar>
              <w:top w:type="dxa" w:w="130"/>
              <w:left w:type="dxa" w:w="160"/>
              <w:bottom w:type="dxa" w:w="130"/>
              <w:right w:type="dxa" w:w="160"/>
            </w:tcMar>
          </w:tcPr>
          <w:p>
            <w:pPr>
              <w:spacing w:after="0" w:line="250"/>
            </w:pPr>
            <w:r>
              <w:rPr>
                <w:rFonts w:ascii="Calibri" w:cs="Calibri" w:eastAsia="Calibri" w:hAnsi="Calibri"/>
                <w:b w:val="false"/>
                <w:bCs w:val="false"/>
                <w:i w:val="false"/>
                <w:iCs w:val="false"/>
                <w:color w:val="4A5068"/>
                <w:sz w:val="19"/>
                <w:szCs w:val="19"/>
              </w:rPr>
              <w:t xml:space="preserve">The process behind the pitch does not exist yet. Reopen the search.</w:t>
            </w:r>
          </w:p>
        </w:tc>
      </w:tr>
    </w:tbl>
    <w:p>
      <w:pPr>
        <w:spacing w:after="120" w:before="160" w:line="264"/>
      </w:pPr>
      <w:r>
        <w:rPr>
          <w:rFonts w:ascii="Calibri" w:cs="Calibri" w:eastAsia="Calibri" w:hAnsi="Calibri"/>
          <w:b w:val="false"/>
          <w:bCs w:val="false"/>
          <w:i/>
          <w:iCs/>
          <w:color w:val="4A5068"/>
          <w:sz w:val="19"/>
          <w:szCs w:val="19"/>
        </w:rPr>
        <w:t xml:space="preserve">One caution on totals: a strong average can hide a disqualifying weakness. An undisclosed conflict on question 1, or no named authority to pull content on question 3, should stop a process regardless of what the other five scores look like.</w:t>
      </w:r>
    </w:p>
    <w:p>
      <w:r>
        <w:br w:type="page"/>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70"/>
        <w:gridCol w:w="8956"/>
      </w:tblGrid>
      <w:tr>
        <w:tc>
          <w:tcPr>
            <w:tcW w:type="dxa" w:w="70"/>
            <w:shd w:fill="EE3465" w:color="auto" w:val="clear"/>
            <w:tcMar>
              <w:top w:type="dxa" w:w="0"/>
              <w:left w:type="dxa" w:w="0"/>
              <w:bottom w:type="dxa" w:w="0"/>
              <w:right w:type="dxa" w:w="0"/>
            </w:tcMar>
          </w:tcPr>
          <w:p>
            <w:r>
              <w:rPr>
                <w:rFonts w:ascii="Calibri" w:cs="Calibri" w:eastAsia="Calibri" w:hAnsi="Calibri"/>
                <w:b w:val="false"/>
                <w:bCs w:val="false"/>
                <w:i w:val="false"/>
                <w:iCs w:val="false"/>
                <w:color w:val="4A5068"/>
                <w:sz w:val="2"/>
                <w:szCs w:val="2"/>
              </w:rPr>
              <w:t xml:space="preserve"/>
            </w:r>
          </w:p>
        </w:tc>
        <w:tc>
          <w:tcPr>
            <w:tcW w:type="dxa" w:w="8956"/>
            <w:tcMar>
              <w:top w:type="dxa" w:w="40"/>
              <w:left w:type="dxa" w:w="200"/>
              <w:bottom w:type="dxa" w:w="40"/>
            </w:tcMar>
            <w:vAlign w:val="center"/>
          </w:tcPr>
          <w:p>
            <w:pPr>
              <w:spacing w:after="0" w:line="260"/>
            </w:pPr>
            <w:r>
              <w:rPr>
                <w:rFonts w:ascii="Calibri" w:cs="Calibri" w:eastAsia="Calibri" w:hAnsi="Calibri"/>
                <w:b/>
                <w:bCs/>
                <w:i w:val="false"/>
                <w:iCs w:val="false"/>
                <w:color w:val="EE3465"/>
                <w:sz w:val="17"/>
                <w:szCs w:val="17"/>
              </w:rPr>
              <w:t xml:space="preserve">Question 1</w:t>
            </w:r>
          </w:p>
          <w:p>
            <w:pPr>
              <w:spacing w:after="0" w:before="20" w:line="300"/>
            </w:pPr>
            <w:r>
              <w:rPr>
                <w:rFonts w:ascii="Calibri" w:cs="Calibri" w:eastAsia="Calibri" w:hAnsi="Calibri"/>
                <w:b/>
                <w:bCs/>
                <w:i w:val="false"/>
                <w:iCs w:val="false"/>
                <w:color w:val="111C3F"/>
                <w:sz w:val="26"/>
                <w:szCs w:val="26"/>
              </w:rPr>
              <w:t xml:space="preserve">How Does the Agency Make Money From Creator Relationships?</w:t>
            </w:r>
          </w:p>
        </w:tc>
      </w:tr>
    </w:tbl>
    <w:p>
      <w:pPr>
        <w:spacing w:after="160" w:before="100"/>
      </w:pPr>
      <w:r>
        <w:rPr>
          <w:rFonts w:ascii="Calibri" w:cs="Calibri" w:eastAsia="Calibri" w:hAnsi="Calibri"/>
          <w:b/>
          <w:bCs/>
          <w:i w:val="false"/>
          <w:iCs w:val="false"/>
          <w:color w:val="EE3465"/>
          <w:sz w:val="16"/>
          <w:szCs w:val="16"/>
        </w:rPr>
        <w:t xml:space="preserve">WHAT IT TESTS:  </w:t>
      </w:r>
      <w:r>
        <w:rPr>
          <w:rFonts w:ascii="Calibri" w:cs="Calibri" w:eastAsia="Calibri" w:hAnsi="Calibri"/>
          <w:b/>
          <w:bCs/>
          <w:i w:val="false"/>
          <w:iCs w:val="false"/>
          <w:color w:val="111C3F"/>
          <w:sz w:val="16"/>
          <w:szCs w:val="16"/>
        </w:rPr>
        <w:t xml:space="preserve">INCENTIVE TRANSPARENCY</w:t>
      </w:r>
    </w:p>
    <w:p>
      <w:pPr>
        <w:spacing w:after="180" w:before="0" w:line="264"/>
      </w:pPr>
      <w:r>
        <w:rPr>
          <w:rFonts w:ascii="Calibri" w:cs="Calibri" w:eastAsia="Calibri" w:hAnsi="Calibri"/>
          <w:b w:val="false"/>
          <w:bCs w:val="false"/>
          <w:i w:val="false"/>
          <w:iCs w:val="false"/>
          <w:color w:val="4A5068"/>
          <w:sz w:val="20"/>
          <w:szCs w:val="20"/>
        </w:rPr>
        <w:t xml:space="preserve">Every shortlist you receive has been shaped by how the agency gets paid. That is not automatically a problem — but undisclosed creator-side revenue means you cannot tell whether a name appears because it is the best fit or because it is the most profitable recommendation. You are not looking for an agency with no creator relationships. You are looking for one that will tell you exactly what those relationships are, in writing, per campaign.</w:t>
      </w:r>
    </w:p>
    <w:p>
      <w:pPr>
        <w:spacing w:after="80" w:before="180"/>
      </w:pPr>
      <w:r>
        <w:rPr>
          <w:rFonts w:ascii="Calibri" w:cs="Calibri" w:eastAsia="Calibri" w:hAnsi="Calibri"/>
          <w:b/>
          <w:bCs/>
          <w:i w:val="false"/>
          <w:iCs w:val="false"/>
          <w:color w:val="EE3465"/>
          <w:sz w:val="16"/>
          <w:szCs w:val="16"/>
        </w:rPr>
        <w:t xml:space="preserve">FOLLOW-UP PROBES — ASK THESE VERBATIM</w:t>
      </w:r>
    </w:p>
    <w:p>
      <w:pPr>
        <w:pStyle w:val="ListParagraph"/>
        <w:numPr>
          <w:ilvl w:val="0"/>
          <w:numId w:val="2"/>
        </w:numPr>
        <w:spacing w:after="90" w:line="264"/>
      </w:pPr>
      <w:r>
        <w:rPr>
          <w:rFonts w:ascii="Calibri" w:cs="Calibri" w:eastAsia="Calibri" w:hAnsi="Calibri"/>
          <w:b w:val="false"/>
          <w:bCs w:val="false"/>
          <w:i w:val="false"/>
          <w:iCs w:val="false"/>
          <w:color w:val="4A5068"/>
          <w:sz w:val="20"/>
          <w:szCs w:val="20"/>
        </w:rPr>
        <w:t xml:space="preserve">Do you represent, manage, or hold exclusivity over any creators? Are any likely to appear on our briefs?</w:t>
      </w:r>
    </w:p>
    <w:p>
      <w:pPr>
        <w:pStyle w:val="ListParagraph"/>
        <w:numPr>
          <w:ilvl w:val="0"/>
          <w:numId w:val="2"/>
        </w:numPr>
        <w:spacing w:after="90" w:line="264"/>
      </w:pPr>
      <w:r>
        <w:rPr>
          <w:rFonts w:ascii="Calibri" w:cs="Calibri" w:eastAsia="Calibri" w:hAnsi="Calibri"/>
          <w:b w:val="false"/>
          <w:bCs w:val="false"/>
          <w:i w:val="false"/>
          <w:iCs w:val="false"/>
          <w:color w:val="4A5068"/>
          <w:sz w:val="20"/>
          <w:szCs w:val="20"/>
        </w:rPr>
        <w:t xml:space="preserve">Do you receive commission, rebate, markup, or any other value from the creator side of a booking?</w:t>
      </w:r>
    </w:p>
    <w:p>
      <w:pPr>
        <w:pStyle w:val="ListParagraph"/>
        <w:numPr>
          <w:ilvl w:val="0"/>
          <w:numId w:val="2"/>
        </w:numPr>
        <w:spacing w:after="90" w:line="264"/>
      </w:pPr>
      <w:r>
        <w:rPr>
          <w:rFonts w:ascii="Calibri" w:cs="Calibri" w:eastAsia="Calibri" w:hAnsi="Calibri"/>
          <w:b w:val="false"/>
          <w:bCs w:val="false"/>
          <w:i w:val="false"/>
          <w:iCs w:val="false"/>
          <w:color w:val="4A5068"/>
          <w:sz w:val="20"/>
          <w:szCs w:val="20"/>
        </w:rPr>
        <w:t xml:space="preserve">Is creator cost passed through to us at net, or marked up? If marked up, what is the percentage?</w:t>
      </w:r>
    </w:p>
    <w:p>
      <w:pPr>
        <w:pStyle w:val="ListParagraph"/>
        <w:numPr>
          <w:ilvl w:val="0"/>
          <w:numId w:val="2"/>
        </w:numPr>
        <w:spacing w:after="90" w:line="264"/>
      </w:pPr>
      <w:r>
        <w:rPr>
          <w:rFonts w:ascii="Calibri" w:cs="Calibri" w:eastAsia="Calibri" w:hAnsi="Calibri"/>
          <w:b w:val="false"/>
          <w:bCs w:val="false"/>
          <w:i w:val="false"/>
          <w:iCs w:val="false"/>
          <w:color w:val="4A5068"/>
          <w:sz w:val="20"/>
          <w:szCs w:val="20"/>
        </w:rPr>
        <w:t xml:space="preserve">Do you receive rebates, incentives, or preferential rates from platforms, vendors, or SaaS tools you recommend?</w:t>
      </w:r>
    </w:p>
    <w:p>
      <w:pPr>
        <w:pStyle w:val="ListParagraph"/>
        <w:numPr>
          <w:ilvl w:val="0"/>
          <w:numId w:val="2"/>
        </w:numPr>
        <w:spacing w:after="90" w:line="264"/>
      </w:pPr>
      <w:r>
        <w:rPr>
          <w:rFonts w:ascii="Calibri" w:cs="Calibri" w:eastAsia="Calibri" w:hAnsi="Calibri"/>
          <w:b w:val="false"/>
          <w:bCs w:val="false"/>
          <w:i w:val="false"/>
          <w:iCs w:val="false"/>
          <w:color w:val="4A5068"/>
          <w:sz w:val="20"/>
          <w:szCs w:val="20"/>
        </w:rPr>
        <w:t xml:space="preserve">Will you disclose, on every shortlist, which recommended creators you hold a commercial interest in?</w:t>
      </w:r>
    </w:p>
    <w:p>
      <w:pPr>
        <w:pStyle w:val="ListParagraph"/>
        <w:numPr>
          <w:ilvl w:val="0"/>
          <w:numId w:val="2"/>
        </w:numPr>
        <w:spacing w:after="90" w:line="264"/>
      </w:pPr>
      <w:r>
        <w:rPr>
          <w:rFonts w:ascii="Calibri" w:cs="Calibri" w:eastAsia="Calibri" w:hAnsi="Calibri"/>
          <w:b w:val="false"/>
          <w:bCs w:val="false"/>
          <w:i w:val="false"/>
          <w:iCs w:val="false"/>
          <w:color w:val="4A5068"/>
          <w:sz w:val="20"/>
          <w:szCs w:val="20"/>
        </w:rPr>
        <w:t xml:space="preserve">How are affiliate or revenue-share arrangements between you and a creator surfaced to us?</w:t>
      </w:r>
    </w:p>
    <w:p>
      <w:r>
        <w:br w:type="page"/>
      </w:r>
    </w:p>
    <w:p>
      <w:pPr>
        <w:spacing w:after="60"/>
      </w:pPr>
      <w:r>
        <w:rPr>
          <w:rFonts w:ascii="Calibri" w:cs="Calibri" w:eastAsia="Calibri" w:hAnsi="Calibri"/>
          <w:b/>
          <w:bCs/>
          <w:i w:val="false"/>
          <w:iCs w:val="false"/>
          <w:color w:val="EE3465"/>
          <w:sz w:val="16"/>
          <w:szCs w:val="16"/>
        </w:rPr>
        <w:t xml:space="preserve">QUESTION 1</w:t>
      </w:r>
      <w:r>
        <w:rPr>
          <w:rFonts w:ascii="Calibri" w:cs="Calibri" w:eastAsia="Calibri" w:hAnsi="Calibri"/>
          <w:b/>
          <w:bCs/>
          <w:i w:val="false"/>
          <w:iCs w:val="false"/>
          <w:color w:val="F9C9D6"/>
          <w:sz w:val="16"/>
          <w:szCs w:val="16"/>
        </w:rPr>
        <w:t xml:space="preserve">  ·  </w:t>
      </w:r>
      <w:r>
        <w:rPr>
          <w:rFonts w:ascii="Calibri" w:cs="Calibri" w:eastAsia="Calibri" w:hAnsi="Calibri"/>
          <w:b/>
          <w:bCs/>
          <w:i w:val="false"/>
          <w:iCs w:val="false"/>
          <w:color w:val="111C3F"/>
          <w:sz w:val="16"/>
          <w:szCs w:val="16"/>
        </w:rPr>
        <w:t xml:space="preserve">INCENTIVE TRANSPARENCY  ·  ASSESSING THE ANSWER</w:t>
      </w:r>
    </w:p>
    <w:p>
      <w:pPr>
        <w:pBdr>
          <w:bottom w:val="single" w:color="F9C9D6" w:sz="6"/>
        </w:pBdr>
        <w:spacing w:after="220"/>
      </w:pPr>
      <w:r>
        <w:rPr>
          <w:rFonts w:ascii="Calibri" w:cs="Calibri" w:eastAsia="Calibri" w:hAnsi="Calibri"/>
          <w:b w:val="false"/>
          <w:bCs w:val="false"/>
          <w:i w:val="false"/>
          <w:iCs w:val="false"/>
          <w:color w:val="4A5068"/>
          <w:sz w:val="2"/>
          <w:szCs w:val="2"/>
        </w:rPr>
        <w:t xml:space="preserve"/>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4513"/>
        <w:gridCol w:w="4513"/>
      </w:tblGrid>
      <w:tr>
        <w:tc>
          <w:tcPr>
            <w:tcW w:type="dxa" w:w="4513"/>
            <w:shd w:fill="EAF5F0" w:color="auto" w:val="clear"/>
            <w:tcMar>
              <w:top w:type="dxa" w:w="140"/>
              <w:left w:type="dxa" w:w="180"/>
              <w:bottom w:type="dxa" w:w="140"/>
              <w:right w:type="dxa" w:w="180"/>
            </w:tcMar>
          </w:tcPr>
          <w:p>
            <w:pPr>
              <w:spacing w:after="100"/>
            </w:pPr>
            <w:r>
              <w:rPr>
                <w:rFonts w:ascii="Calibri" w:cs="Calibri" w:eastAsia="Calibri" w:hAnsi="Calibri"/>
                <w:b/>
                <w:bCs/>
                <w:i w:val="false"/>
                <w:iCs w:val="false"/>
                <w:color w:val="1E7A54"/>
                <w:sz w:val="17"/>
                <w:szCs w:val="17"/>
              </w:rPr>
              <w:t xml:space="preserve">Strong answer sounds like</w:t>
            </w:r>
          </w:p>
          <w:p>
            <w:pPr>
              <w:spacing w:after="80" w:line="250"/>
              <w:ind w:left="170" w:hanging="170"/>
            </w:pPr>
            <w:r>
              <w:rPr>
                <w:rFonts w:ascii="Calibri" w:cs="Calibri" w:eastAsia="Calibri" w:hAnsi="Calibri"/>
                <w:b/>
                <w:bCs/>
                <w:i w:val="false"/>
                <w:iCs w:val="false"/>
                <w:color w:val="1E7A54"/>
                <w:sz w:val="20"/>
                <w:szCs w:val="20"/>
              </w:rPr>
              <w:t xml:space="preserve">—   </w:t>
            </w:r>
            <w:r>
              <w:rPr>
                <w:rFonts w:ascii="Calibri" w:cs="Calibri" w:eastAsia="Calibri" w:hAnsi="Calibri"/>
                <w:b w:val="false"/>
                <w:bCs w:val="false"/>
                <w:i w:val="false"/>
                <w:iCs w:val="false"/>
                <w:color w:val="4A5068"/>
                <w:sz w:val="19"/>
                <w:szCs w:val="19"/>
              </w:rPr>
              <w:t xml:space="preserve">Volunteers the full revenue structure before being pushed on it.</w:t>
            </w:r>
          </w:p>
          <w:p>
            <w:pPr>
              <w:spacing w:after="80" w:line="250"/>
              <w:ind w:left="170" w:hanging="170"/>
            </w:pPr>
            <w:r>
              <w:rPr>
                <w:rFonts w:ascii="Calibri" w:cs="Calibri" w:eastAsia="Calibri" w:hAnsi="Calibri"/>
                <w:b/>
                <w:bCs/>
                <w:i w:val="false"/>
                <w:iCs w:val="false"/>
                <w:color w:val="1E7A54"/>
                <w:sz w:val="20"/>
                <w:szCs w:val="20"/>
              </w:rPr>
              <w:t xml:space="preserve">—   </w:t>
            </w:r>
            <w:r>
              <w:rPr>
                <w:rFonts w:ascii="Calibri" w:cs="Calibri" w:eastAsia="Calibri" w:hAnsi="Calibri"/>
                <w:b w:val="false"/>
                <w:bCs w:val="false"/>
                <w:i w:val="false"/>
                <w:iCs w:val="false"/>
                <w:color w:val="4A5068"/>
                <w:sz w:val="19"/>
                <w:szCs w:val="19"/>
              </w:rPr>
              <w:t xml:space="preserve">Cleanly separates brand-side fees from any creator-side income.</w:t>
            </w:r>
          </w:p>
          <w:p>
            <w:pPr>
              <w:spacing w:after="80" w:line="250"/>
              <w:ind w:left="170" w:hanging="170"/>
            </w:pPr>
            <w:r>
              <w:rPr>
                <w:rFonts w:ascii="Calibri" w:cs="Calibri" w:eastAsia="Calibri" w:hAnsi="Calibri"/>
                <w:b/>
                <w:bCs/>
                <w:i w:val="false"/>
                <w:iCs w:val="false"/>
                <w:color w:val="1E7A54"/>
                <w:sz w:val="20"/>
                <w:szCs w:val="20"/>
              </w:rPr>
              <w:t xml:space="preserve">—   </w:t>
            </w:r>
            <w:r>
              <w:rPr>
                <w:rFonts w:ascii="Calibri" w:cs="Calibri" w:eastAsia="Calibri" w:hAnsi="Calibri"/>
                <w:b w:val="false"/>
                <w:bCs w:val="false"/>
                <w:i w:val="false"/>
                <w:iCs w:val="false"/>
                <w:color w:val="4A5068"/>
                <w:sz w:val="19"/>
                <w:szCs w:val="19"/>
              </w:rPr>
              <w:t xml:space="preserve">States markup as an actual number rather than a principle.</w:t>
            </w:r>
          </w:p>
          <w:p>
            <w:pPr>
              <w:spacing w:after="80" w:line="250"/>
              <w:ind w:left="170" w:hanging="170"/>
            </w:pPr>
            <w:r>
              <w:rPr>
                <w:rFonts w:ascii="Calibri" w:cs="Calibri" w:eastAsia="Calibri" w:hAnsi="Calibri"/>
                <w:b/>
                <w:bCs/>
                <w:i w:val="false"/>
                <w:iCs w:val="false"/>
                <w:color w:val="1E7A54"/>
                <w:sz w:val="20"/>
                <w:szCs w:val="20"/>
              </w:rPr>
              <w:t xml:space="preserve">—   </w:t>
            </w:r>
            <w:r>
              <w:rPr>
                <w:rFonts w:ascii="Calibri" w:cs="Calibri" w:eastAsia="Calibri" w:hAnsi="Calibri"/>
                <w:b w:val="false"/>
                <w:bCs w:val="false"/>
                <w:i w:val="false"/>
                <w:iCs w:val="false"/>
                <w:color w:val="4A5068"/>
                <w:sz w:val="19"/>
                <w:szCs w:val="19"/>
              </w:rPr>
              <w:t xml:space="preserve">Offers written per-shortlist disclosure without being asked.</w:t>
            </w:r>
          </w:p>
          <w:p>
            <w:pPr>
              <w:spacing w:after="80" w:line="250"/>
              <w:ind w:left="170" w:hanging="170"/>
            </w:pPr>
            <w:r>
              <w:rPr>
                <w:rFonts w:ascii="Calibri" w:cs="Calibri" w:eastAsia="Calibri" w:hAnsi="Calibri"/>
                <w:b/>
                <w:bCs/>
                <w:i w:val="false"/>
                <w:iCs w:val="false"/>
                <w:color w:val="1E7A54"/>
                <w:sz w:val="20"/>
                <w:szCs w:val="20"/>
              </w:rPr>
              <w:t xml:space="preserve">—   </w:t>
            </w:r>
            <w:r>
              <w:rPr>
                <w:rFonts w:ascii="Calibri" w:cs="Calibri" w:eastAsia="Calibri" w:hAnsi="Calibri"/>
                <w:b w:val="false"/>
                <w:bCs w:val="false"/>
                <w:i w:val="false"/>
                <w:iCs w:val="false"/>
                <w:color w:val="4A5068"/>
                <w:sz w:val="19"/>
                <w:szCs w:val="19"/>
              </w:rPr>
              <w:t xml:space="preserve">Has a documented conflict-of-interest policy and shares it.</w:t>
            </w:r>
          </w:p>
        </w:tc>
        <w:tc>
          <w:tcPr>
            <w:tcW w:type="dxa" w:w="4513"/>
            <w:shd w:fill="FDECF1" w:color="auto" w:val="clear"/>
            <w:tcMar>
              <w:top w:type="dxa" w:w="140"/>
              <w:left w:type="dxa" w:w="180"/>
              <w:bottom w:type="dxa" w:w="140"/>
              <w:right w:type="dxa" w:w="180"/>
            </w:tcMar>
          </w:tcPr>
          <w:p>
            <w:pPr>
              <w:spacing w:after="100"/>
            </w:pPr>
            <w:r>
              <w:rPr>
                <w:rFonts w:ascii="Calibri" w:cs="Calibri" w:eastAsia="Calibri" w:hAnsi="Calibri"/>
                <w:b/>
                <w:bCs/>
                <w:i w:val="false"/>
                <w:iCs w:val="false"/>
                <w:color w:val="EE3465"/>
                <w:sz w:val="17"/>
                <w:szCs w:val="17"/>
              </w:rPr>
              <w:t xml:space="preserve">Treat as a red flag</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4A5068"/>
                <w:sz w:val="19"/>
                <w:szCs w:val="19"/>
              </w:rPr>
              <w:t xml:space="preserve">"We are completely creator-agnostic" with no explanation of revenue.</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4A5068"/>
                <w:sz w:val="19"/>
                <w:szCs w:val="19"/>
              </w:rPr>
              <w:t xml:space="preserve">Markup described as commercially confidential.</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4A5068"/>
                <w:sz w:val="19"/>
                <w:szCs w:val="19"/>
              </w:rPr>
              <w:t xml:space="preserve">A single bundled management fee that cannot be broken down.</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4A5068"/>
                <w:sz w:val="19"/>
                <w:szCs w:val="19"/>
              </w:rPr>
              <w:t xml:space="preserve">Represented talent appears on the shortlist unflagged.</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4A5068"/>
                <w:sz w:val="19"/>
                <w:szCs w:val="19"/>
              </w:rPr>
              <w:t xml:space="preserve">Answers shift between the pitch and the contract redline.</w:t>
            </w:r>
          </w:p>
        </w:tc>
      </w:tr>
    </w:tbl>
    <w:p>
      <w:pPr>
        <w:spacing w:after="0" w:before="180"/>
      </w:pPr>
      <w:r>
        <w:rPr>
          <w:rFonts w:ascii="Calibri" w:cs="Calibri" w:eastAsia="Calibri" w:hAnsi="Calibri"/>
          <w:b w:val="false"/>
          <w:bCs w:val="false"/>
          <w:i w:val="false"/>
          <w:iCs w:val="false"/>
          <w:color w:val="4A5068"/>
          <w:sz w:val="2"/>
          <w:szCs w:val="2"/>
        </w:rPr>
        <w:t xml:space="preserve"/>
      </w:r>
    </w:p>
    <w:tbl>
      <w:tblPr>
        <w:tblW w:type="dxa" w:w="9026"/>
        <w:tblBorders>
          <w:top w:val="single" w:color="F9C9D6" w:sz="2"/>
          <w:left w:val="single" w:color="EE3465" w:sz="12"/>
          <w:bottom w:val="single" w:color="F9C9D6" w:sz="2"/>
          <w:right w:val="single" w:color="F9C9D6" w:sz="2"/>
          <w:insideH w:val="none" w:color="FFFFFF" w:sz="0"/>
          <w:insideV w:val="none" w:color="FFFFFF" w:sz="0"/>
        </w:tblBorders>
      </w:tblPr>
      <w:tblGrid>
        <w:gridCol w:w="9026"/>
      </w:tblGrid>
      <w:tr>
        <w:tc>
          <w:tcPr>
            <w:tcW w:type="dxa" w:w="9026"/>
            <w:shd w:fill="FDF9F6" w:color="auto" w:val="clear"/>
            <w:tcMar>
              <w:top w:type="dxa" w:w="150"/>
              <w:left w:type="dxa" w:w="220"/>
              <w:bottom w:type="dxa" w:w="150"/>
              <w:right w:type="dxa" w:w="200"/>
            </w:tcMar>
          </w:tcPr>
          <w:p>
            <w:pPr>
              <w:spacing w:after="100"/>
            </w:pPr>
            <w:r>
              <w:rPr>
                <w:rFonts w:ascii="Calibri" w:cs="Calibri" w:eastAsia="Calibri" w:hAnsi="Calibri"/>
                <w:b/>
                <w:bCs/>
                <w:i w:val="false"/>
                <w:iCs w:val="false"/>
                <w:color w:val="EE3465"/>
                <w:sz w:val="16"/>
                <w:szCs w:val="16"/>
              </w:rPr>
              <w:t xml:space="preserve">WORKING BENCHMARK — WHAT TO REQUIRE</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111C3F"/>
                <w:sz w:val="19"/>
                <w:szCs w:val="19"/>
              </w:rPr>
              <w:t xml:space="preserve">Written disclosure of any creator-side revenue attached to every shortlist you receive — make this a contract clause, not a courtesy.</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111C3F"/>
                <w:sz w:val="19"/>
                <w:szCs w:val="19"/>
              </w:rPr>
              <w:t xml:space="preserve">Creator fees passed through at net with a separate, fixed agency fee; if markup is used instead, require the percentage in writing.</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111C3F"/>
                <w:sz w:val="19"/>
                <w:szCs w:val="19"/>
              </w:rPr>
              <w:t xml:space="preserve">Audit right over creator invoices for any campaign above a spend threshold you set.</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111C3F"/>
                <w:sz w:val="19"/>
                <w:szCs w:val="19"/>
              </w:rPr>
              <w:t xml:space="preserve">If more than roughly a third of a shortlist is roster or represented talent, ask for the written rationale and the non-roster options that were considered and rejected.</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111C3F"/>
                <w:sz w:val="19"/>
                <w:szCs w:val="19"/>
              </w:rPr>
              <w:t xml:space="preserve">Disclosure obligation survives personnel change — tie it to the agency, not the account lead.</w:t>
            </w:r>
          </w:p>
        </w:tc>
      </w:tr>
    </w:tbl>
    <w:p>
      <w:pPr>
        <w:spacing w:after="0" w:before="200"/>
      </w:pPr>
      <w:r>
        <w:rPr>
          <w:rFonts w:ascii="Calibri" w:cs="Calibri" w:eastAsia="Calibri" w:hAnsi="Calibri"/>
          <w:b w:val="false"/>
          <w:bCs w:val="false"/>
          <w:i w:val="false"/>
          <w:iCs w:val="false"/>
          <w:color w:val="4A5068"/>
          <w:sz w:val="2"/>
          <w:szCs w:val="2"/>
        </w:rPr>
        <w:t xml:space="preserve"/>
      </w:r>
    </w:p>
    <w:tbl>
      <w:tblPr>
        <w:tblW w:type="dxa" w:w="9026"/>
        <w:tblBorders>
          <w:top w:val="single" w:color="DFE1E8" w:sz="4"/>
          <w:left w:val="single" w:color="DFE1E8" w:sz="4"/>
          <w:bottom w:val="single" w:color="DFE1E8" w:sz="4"/>
          <w:right w:val="single" w:color="DFE1E8" w:sz="4"/>
          <w:insideH w:val="single" w:color="DFE1E8" w:sz="4"/>
          <w:insideV w:val="single" w:color="DFE1E8" w:sz="4"/>
        </w:tblBorders>
      </w:tblPr>
      <w:tblGrid>
        <w:gridCol w:w="1500"/>
        <w:gridCol w:w="7526"/>
      </w:tblGrid>
      <w:tr>
        <w:tc>
          <w:tcPr>
            <w:tcW w:type="dxa" w:w="1500"/>
            <w:shd w:fill="111C3F" w:color="auto" w:val="clear"/>
            <w:tcMar>
              <w:top w:type="dxa" w:w="80"/>
              <w:left w:type="dxa" w:w="140"/>
              <w:bottom w:type="dxa" w:w="80"/>
              <w:right w:type="dxa" w:w="140"/>
            </w:tcMar>
          </w:tcPr>
          <w:p>
            <w:pPr>
              <w:spacing w:after="0"/>
            </w:pPr>
            <w:r>
              <w:rPr>
                <w:rFonts w:ascii="Calibri" w:cs="Calibri" w:eastAsia="Calibri" w:hAnsi="Calibri"/>
                <w:b/>
                <w:bCs/>
                <w:i w:val="false"/>
                <w:iCs w:val="false"/>
                <w:color w:val="FFFFFF"/>
                <w:sz w:val="15"/>
                <w:szCs w:val="15"/>
              </w:rPr>
              <w:t xml:space="preserve">SCORE  0–3</w:t>
            </w:r>
          </w:p>
        </w:tc>
        <w:tc>
          <w:tcPr>
            <w:tcW w:type="dxa" w:w="7526"/>
            <w:shd w:fill="111C3F" w:color="auto" w:val="clear"/>
            <w:tcMar>
              <w:top w:type="dxa" w:w="80"/>
              <w:left w:type="dxa" w:w="140"/>
              <w:bottom w:type="dxa" w:w="80"/>
              <w:right w:type="dxa" w:w="140"/>
            </w:tcMar>
          </w:tcPr>
          <w:p>
            <w:pPr>
              <w:spacing w:after="0"/>
            </w:pPr>
            <w:r>
              <w:rPr>
                <w:rFonts w:ascii="Calibri" w:cs="Calibri" w:eastAsia="Calibri" w:hAnsi="Calibri"/>
                <w:b/>
                <w:bCs/>
                <w:i w:val="false"/>
                <w:iCs w:val="false"/>
                <w:color w:val="FFFFFF"/>
                <w:sz w:val="15"/>
                <w:szCs w:val="15"/>
              </w:rPr>
              <w:t xml:space="preserve">EVIDENCE THEY GAVE — QUOTE SPECIFICS, NOT IMPRESSIONS</w:t>
            </w:r>
          </w:p>
        </w:tc>
      </w:tr>
      <w:tr>
        <w:trPr>
          <w:trHeight w:val="1000" w:hRule="atLeast"/>
        </w:trPr>
        <w:tc>
          <w:tcPr>
            <w:tcW w:type="dxa" w:w="1500"/>
            <w:tcMar>
              <w:top w:type="dxa" w:w="120"/>
              <w:left w:type="dxa" w:w="140"/>
              <w:bottom w:type="dxa" w:w="120"/>
              <w:right w:type="dxa" w:w="140"/>
            </w:tcMar>
            <w:vAlign w:val="center"/>
          </w:tcPr>
          <w:p>
            <w:pPr>
              <w:spacing w:after="0"/>
              <w:jc w:val="center"/>
            </w:pPr>
            <w:r>
              <w:rPr>
                <w:rFonts w:ascii="Calibri" w:cs="Calibri" w:eastAsia="Calibri" w:hAnsi="Calibri"/>
                <w:b w:val="false"/>
                <w:bCs w:val="false"/>
                <w:i w:val="false"/>
                <w:iCs w:val="false"/>
                <w:color w:val="B9BDCB"/>
                <w:sz w:val="24"/>
                <w:szCs w:val="24"/>
              </w:rPr>
              <w:t xml:space="preserve">_______</w:t>
            </w:r>
          </w:p>
        </w:tc>
        <w:tc>
          <w:tcPr>
            <w:tcW w:type="dxa" w:w="7526"/>
            <w:tcMar>
              <w:top w:type="dxa" w:w="120"/>
              <w:left w:type="dxa" w:w="140"/>
              <w:bottom w:type="dxa" w:w="120"/>
              <w:right w:type="dxa" w:w="140"/>
            </w:tcMar>
          </w:tcPr>
          <w:p>
            <w:pPr>
              <w:spacing w:after="0"/>
            </w:pPr>
            <w:r>
              <w:rPr>
                <w:rFonts w:ascii="Calibri" w:cs="Calibri" w:eastAsia="Calibri" w:hAnsi="Calibri"/>
                <w:b w:val="false"/>
                <w:bCs w:val="false"/>
                <w:i w:val="false"/>
                <w:iCs w:val="false"/>
                <w:color w:val="4A5068"/>
                <w:sz w:val="20"/>
                <w:szCs w:val="20"/>
              </w:rPr>
              <w:t xml:space="preserve"/>
            </w:r>
          </w:p>
        </w:tc>
      </w:tr>
    </w:tbl>
    <w:p>
      <w:r>
        <w:br w:type="page"/>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70"/>
        <w:gridCol w:w="8956"/>
      </w:tblGrid>
      <w:tr>
        <w:tc>
          <w:tcPr>
            <w:tcW w:type="dxa" w:w="70"/>
            <w:shd w:fill="EE3465" w:color="auto" w:val="clear"/>
            <w:tcMar>
              <w:top w:type="dxa" w:w="0"/>
              <w:left w:type="dxa" w:w="0"/>
              <w:bottom w:type="dxa" w:w="0"/>
              <w:right w:type="dxa" w:w="0"/>
            </w:tcMar>
          </w:tcPr>
          <w:p>
            <w:r>
              <w:rPr>
                <w:rFonts w:ascii="Calibri" w:cs="Calibri" w:eastAsia="Calibri" w:hAnsi="Calibri"/>
                <w:b w:val="false"/>
                <w:bCs w:val="false"/>
                <w:i w:val="false"/>
                <w:iCs w:val="false"/>
                <w:color w:val="4A5068"/>
                <w:sz w:val="2"/>
                <w:szCs w:val="2"/>
              </w:rPr>
              <w:t xml:space="preserve"/>
            </w:r>
          </w:p>
        </w:tc>
        <w:tc>
          <w:tcPr>
            <w:tcW w:type="dxa" w:w="8956"/>
            <w:tcMar>
              <w:top w:type="dxa" w:w="40"/>
              <w:left w:type="dxa" w:w="200"/>
              <w:bottom w:type="dxa" w:w="40"/>
            </w:tcMar>
            <w:vAlign w:val="center"/>
          </w:tcPr>
          <w:p>
            <w:pPr>
              <w:spacing w:after="0" w:line="260"/>
            </w:pPr>
            <w:r>
              <w:rPr>
                <w:rFonts w:ascii="Calibri" w:cs="Calibri" w:eastAsia="Calibri" w:hAnsi="Calibri"/>
                <w:b/>
                <w:bCs/>
                <w:i w:val="false"/>
                <w:iCs w:val="false"/>
                <w:color w:val="EE3465"/>
                <w:sz w:val="17"/>
                <w:szCs w:val="17"/>
              </w:rPr>
              <w:t xml:space="preserve">Question 2</w:t>
            </w:r>
          </w:p>
          <w:p>
            <w:pPr>
              <w:spacing w:after="0" w:before="20" w:line="300"/>
            </w:pPr>
            <w:r>
              <w:rPr>
                <w:rFonts w:ascii="Calibri" w:cs="Calibri" w:eastAsia="Calibri" w:hAnsi="Calibri"/>
                <w:b/>
                <w:bCs/>
                <w:i w:val="false"/>
                <w:iCs w:val="false"/>
                <w:color w:val="111C3F"/>
                <w:sz w:val="26"/>
                <w:szCs w:val="26"/>
              </w:rPr>
              <w:t xml:space="preserve">How Broad Is the Creator Pool Used for Each Brief?</w:t>
            </w:r>
          </w:p>
        </w:tc>
      </w:tr>
    </w:tbl>
    <w:p>
      <w:pPr>
        <w:spacing w:after="160" w:before="100"/>
      </w:pPr>
      <w:r>
        <w:rPr>
          <w:rFonts w:ascii="Calibri" w:cs="Calibri" w:eastAsia="Calibri" w:hAnsi="Calibri"/>
          <w:b/>
          <w:bCs/>
          <w:i w:val="false"/>
          <w:iCs w:val="false"/>
          <w:color w:val="EE3465"/>
          <w:sz w:val="16"/>
          <w:szCs w:val="16"/>
        </w:rPr>
        <w:t xml:space="preserve">WHAT IT TESTS:  </w:t>
      </w:r>
      <w:r>
        <w:rPr>
          <w:rFonts w:ascii="Calibri" w:cs="Calibri" w:eastAsia="Calibri" w:hAnsi="Calibri"/>
          <w:b/>
          <w:bCs/>
          <w:i w:val="false"/>
          <w:iCs w:val="false"/>
          <w:color w:val="111C3F"/>
          <w:sz w:val="16"/>
          <w:szCs w:val="16"/>
        </w:rPr>
        <w:t xml:space="preserve">SELECTION RIGOUR</w:t>
      </w:r>
    </w:p>
    <w:p>
      <w:pPr>
        <w:spacing w:after="180" w:before="0" w:line="264"/>
      </w:pPr>
      <w:r>
        <w:rPr>
          <w:rFonts w:ascii="Calibri" w:cs="Calibri" w:eastAsia="Calibri" w:hAnsi="Calibri"/>
          <w:b w:val="false"/>
          <w:bCs w:val="false"/>
          <w:i w:val="false"/>
          <w:iCs w:val="false"/>
          <w:color w:val="4A5068"/>
          <w:sz w:val="20"/>
          <w:szCs w:val="20"/>
        </w:rPr>
        <w:t xml:space="preserve">A roster brings real value: negotiated rates, established trust, faster turnaround, fewer delivery failures. The risk is not that an agency has relationships — it is that the shortlist reflects who was available rather than who was right. What you are testing is whether a genuine evaluation happened upstream of the names you were shown.</w:t>
      </w:r>
    </w:p>
    <w:p>
      <w:pPr>
        <w:spacing w:after="80" w:before="180"/>
      </w:pPr>
      <w:r>
        <w:rPr>
          <w:rFonts w:ascii="Calibri" w:cs="Calibri" w:eastAsia="Calibri" w:hAnsi="Calibri"/>
          <w:b/>
          <w:bCs/>
          <w:i w:val="false"/>
          <w:iCs w:val="false"/>
          <w:color w:val="EE3465"/>
          <w:sz w:val="16"/>
          <w:szCs w:val="16"/>
        </w:rPr>
        <w:t xml:space="preserve">FOLLOW-UP PROBES — ASK THESE VERBATIM</w:t>
      </w:r>
    </w:p>
    <w:p>
      <w:pPr>
        <w:pStyle w:val="ListParagraph"/>
        <w:numPr>
          <w:ilvl w:val="0"/>
          <w:numId w:val="2"/>
        </w:numPr>
        <w:spacing w:after="90" w:line="264"/>
      </w:pPr>
      <w:r>
        <w:rPr>
          <w:rFonts w:ascii="Calibri" w:cs="Calibri" w:eastAsia="Calibri" w:hAnsi="Calibri"/>
          <w:b w:val="false"/>
          <w:bCs w:val="false"/>
          <w:i w:val="false"/>
          <w:iCs w:val="false"/>
          <w:color w:val="4A5068"/>
          <w:sz w:val="20"/>
          <w:szCs w:val="20"/>
        </w:rPr>
        <w:t xml:space="preserve">For a brief like ours, how many creators enter initial consideration, and how many survive to shortlist?</w:t>
      </w:r>
    </w:p>
    <w:p>
      <w:pPr>
        <w:pStyle w:val="ListParagraph"/>
        <w:numPr>
          <w:ilvl w:val="0"/>
          <w:numId w:val="2"/>
        </w:numPr>
        <w:spacing w:after="90" w:line="264"/>
      </w:pPr>
      <w:r>
        <w:rPr>
          <w:rFonts w:ascii="Calibri" w:cs="Calibri" w:eastAsia="Calibri" w:hAnsi="Calibri"/>
          <w:b w:val="false"/>
          <w:bCs w:val="false"/>
          <w:i w:val="false"/>
          <w:iCs w:val="false"/>
          <w:color w:val="4A5068"/>
          <w:sz w:val="20"/>
          <w:szCs w:val="20"/>
        </w:rPr>
        <w:t xml:space="preserve">What proportion of that pool is roster or represented talent versus open market?</w:t>
      </w:r>
    </w:p>
    <w:p>
      <w:pPr>
        <w:pStyle w:val="ListParagraph"/>
        <w:numPr>
          <w:ilvl w:val="0"/>
          <w:numId w:val="2"/>
        </w:numPr>
        <w:spacing w:after="90" w:line="264"/>
      </w:pPr>
      <w:r>
        <w:rPr>
          <w:rFonts w:ascii="Calibri" w:cs="Calibri" w:eastAsia="Calibri" w:hAnsi="Calibri"/>
          <w:b w:val="false"/>
          <w:bCs w:val="false"/>
          <w:i w:val="false"/>
          <w:iCs w:val="false"/>
          <w:color w:val="4A5068"/>
          <w:sz w:val="20"/>
          <w:szCs w:val="20"/>
        </w:rPr>
        <w:t xml:space="preserve">Which data sources sit behind the evaluation — your own booking history, platform APIs, third-party tooling?</w:t>
      </w:r>
    </w:p>
    <w:p>
      <w:pPr>
        <w:pStyle w:val="ListParagraph"/>
        <w:numPr>
          <w:ilvl w:val="0"/>
          <w:numId w:val="2"/>
        </w:numPr>
        <w:spacing w:after="90" w:line="264"/>
      </w:pPr>
      <w:r>
        <w:rPr>
          <w:rFonts w:ascii="Calibri" w:cs="Calibri" w:eastAsia="Calibri" w:hAnsi="Calibri"/>
          <w:b w:val="false"/>
          <w:bCs w:val="false"/>
          <w:i w:val="false"/>
          <w:iCs w:val="false"/>
          <w:color w:val="4A5068"/>
          <w:sz w:val="20"/>
          <w:szCs w:val="20"/>
        </w:rPr>
        <w:t xml:space="preserve">How do you screen for inauthentic audiences, engagement pods, and purchased followers? What threshold triggers rejection?</w:t>
      </w:r>
    </w:p>
    <w:p>
      <w:pPr>
        <w:pStyle w:val="ListParagraph"/>
        <w:numPr>
          <w:ilvl w:val="0"/>
          <w:numId w:val="2"/>
        </w:numPr>
        <w:spacing w:after="90" w:line="264"/>
      </w:pPr>
      <w:r>
        <w:rPr>
          <w:rFonts w:ascii="Calibri" w:cs="Calibri" w:eastAsia="Calibri" w:hAnsi="Calibri"/>
          <w:b w:val="false"/>
          <w:bCs w:val="false"/>
          <w:i w:val="false"/>
          <w:iCs w:val="false"/>
          <w:color w:val="4A5068"/>
          <w:sz w:val="20"/>
          <w:szCs w:val="20"/>
        </w:rPr>
        <w:t xml:space="preserve">How do you verify that a creator's audience is actually in our target market and language?</w:t>
      </w:r>
    </w:p>
    <w:p>
      <w:pPr>
        <w:pStyle w:val="ListParagraph"/>
        <w:numPr>
          <w:ilvl w:val="0"/>
          <w:numId w:val="2"/>
        </w:numPr>
        <w:spacing w:after="90" w:line="264"/>
      </w:pPr>
      <w:r>
        <w:rPr>
          <w:rFonts w:ascii="Calibri" w:cs="Calibri" w:eastAsia="Calibri" w:hAnsi="Calibri"/>
          <w:b w:val="false"/>
          <w:bCs w:val="false"/>
          <w:i w:val="false"/>
          <w:iCs w:val="false"/>
          <w:color w:val="4A5068"/>
          <w:sz w:val="20"/>
          <w:szCs w:val="20"/>
        </w:rPr>
        <w:t xml:space="preserve">Can you show a de-identified shortlist document from a comparable brief, including the creators you rejected and why?</w:t>
      </w:r>
    </w:p>
    <w:p>
      <w:r>
        <w:br w:type="page"/>
      </w:r>
    </w:p>
    <w:p>
      <w:pPr>
        <w:spacing w:after="60"/>
      </w:pPr>
      <w:r>
        <w:rPr>
          <w:rFonts w:ascii="Calibri" w:cs="Calibri" w:eastAsia="Calibri" w:hAnsi="Calibri"/>
          <w:b/>
          <w:bCs/>
          <w:i w:val="false"/>
          <w:iCs w:val="false"/>
          <w:color w:val="EE3465"/>
          <w:sz w:val="16"/>
          <w:szCs w:val="16"/>
        </w:rPr>
        <w:t xml:space="preserve">QUESTION 2</w:t>
      </w:r>
      <w:r>
        <w:rPr>
          <w:rFonts w:ascii="Calibri" w:cs="Calibri" w:eastAsia="Calibri" w:hAnsi="Calibri"/>
          <w:b/>
          <w:bCs/>
          <w:i w:val="false"/>
          <w:iCs w:val="false"/>
          <w:color w:val="F9C9D6"/>
          <w:sz w:val="16"/>
          <w:szCs w:val="16"/>
        </w:rPr>
        <w:t xml:space="preserve">  ·  </w:t>
      </w:r>
      <w:r>
        <w:rPr>
          <w:rFonts w:ascii="Calibri" w:cs="Calibri" w:eastAsia="Calibri" w:hAnsi="Calibri"/>
          <w:b/>
          <w:bCs/>
          <w:i w:val="false"/>
          <w:iCs w:val="false"/>
          <w:color w:val="111C3F"/>
          <w:sz w:val="16"/>
          <w:szCs w:val="16"/>
        </w:rPr>
        <w:t xml:space="preserve">SELECTION RIGOUR  ·  ASSESSING THE ANSWER</w:t>
      </w:r>
    </w:p>
    <w:p>
      <w:pPr>
        <w:pBdr>
          <w:bottom w:val="single" w:color="F9C9D6" w:sz="6"/>
        </w:pBdr>
        <w:spacing w:after="220"/>
      </w:pPr>
      <w:r>
        <w:rPr>
          <w:rFonts w:ascii="Calibri" w:cs="Calibri" w:eastAsia="Calibri" w:hAnsi="Calibri"/>
          <w:b w:val="false"/>
          <w:bCs w:val="false"/>
          <w:i w:val="false"/>
          <w:iCs w:val="false"/>
          <w:color w:val="4A5068"/>
          <w:sz w:val="2"/>
          <w:szCs w:val="2"/>
        </w:rPr>
        <w:t xml:space="preserve"/>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4513"/>
        <w:gridCol w:w="4513"/>
      </w:tblGrid>
      <w:tr>
        <w:tc>
          <w:tcPr>
            <w:tcW w:type="dxa" w:w="4513"/>
            <w:shd w:fill="EAF5F0" w:color="auto" w:val="clear"/>
            <w:tcMar>
              <w:top w:type="dxa" w:w="140"/>
              <w:left w:type="dxa" w:w="180"/>
              <w:bottom w:type="dxa" w:w="140"/>
              <w:right w:type="dxa" w:w="180"/>
            </w:tcMar>
          </w:tcPr>
          <w:p>
            <w:pPr>
              <w:spacing w:after="100"/>
            </w:pPr>
            <w:r>
              <w:rPr>
                <w:rFonts w:ascii="Calibri" w:cs="Calibri" w:eastAsia="Calibri" w:hAnsi="Calibri"/>
                <w:b/>
                <w:bCs/>
                <w:i w:val="false"/>
                <w:iCs w:val="false"/>
                <w:color w:val="1E7A54"/>
                <w:sz w:val="17"/>
                <w:szCs w:val="17"/>
              </w:rPr>
              <w:t xml:space="preserve">Strong answer sounds like</w:t>
            </w:r>
          </w:p>
          <w:p>
            <w:pPr>
              <w:spacing w:after="80" w:line="250"/>
              <w:ind w:left="170" w:hanging="170"/>
            </w:pPr>
            <w:r>
              <w:rPr>
                <w:rFonts w:ascii="Calibri" w:cs="Calibri" w:eastAsia="Calibri" w:hAnsi="Calibri"/>
                <w:b/>
                <w:bCs/>
                <w:i w:val="false"/>
                <w:iCs w:val="false"/>
                <w:color w:val="1E7A54"/>
                <w:sz w:val="20"/>
                <w:szCs w:val="20"/>
              </w:rPr>
              <w:t xml:space="preserve">—   </w:t>
            </w:r>
            <w:r>
              <w:rPr>
                <w:rFonts w:ascii="Calibri" w:cs="Calibri" w:eastAsia="Calibri" w:hAnsi="Calibri"/>
                <w:b w:val="false"/>
                <w:bCs w:val="false"/>
                <w:i w:val="false"/>
                <w:iCs w:val="false"/>
                <w:color w:val="4A5068"/>
                <w:sz w:val="19"/>
                <w:szCs w:val="19"/>
              </w:rPr>
              <w:t xml:space="preserve">Can state real funnel numbers: considered, screened, shortlisted, recommended.</w:t>
            </w:r>
          </w:p>
          <w:p>
            <w:pPr>
              <w:spacing w:after="80" w:line="250"/>
              <w:ind w:left="170" w:hanging="170"/>
            </w:pPr>
            <w:r>
              <w:rPr>
                <w:rFonts w:ascii="Calibri" w:cs="Calibri" w:eastAsia="Calibri" w:hAnsi="Calibri"/>
                <w:b/>
                <w:bCs/>
                <w:i w:val="false"/>
                <w:iCs w:val="false"/>
                <w:color w:val="1E7A54"/>
                <w:sz w:val="20"/>
                <w:szCs w:val="20"/>
              </w:rPr>
              <w:t xml:space="preserve">—   </w:t>
            </w:r>
            <w:r>
              <w:rPr>
                <w:rFonts w:ascii="Calibri" w:cs="Calibri" w:eastAsia="Calibri" w:hAnsi="Calibri"/>
                <w:b w:val="false"/>
                <w:bCs w:val="false"/>
                <w:i w:val="false"/>
                <w:iCs w:val="false"/>
                <w:color w:val="4A5068"/>
                <w:sz w:val="19"/>
                <w:szCs w:val="19"/>
              </w:rPr>
              <w:t xml:space="preserve">Documents rejection reasoning, not only selections.</w:t>
            </w:r>
          </w:p>
          <w:p>
            <w:pPr>
              <w:spacing w:after="80" w:line="250"/>
              <w:ind w:left="170" w:hanging="170"/>
            </w:pPr>
            <w:r>
              <w:rPr>
                <w:rFonts w:ascii="Calibri" w:cs="Calibri" w:eastAsia="Calibri" w:hAnsi="Calibri"/>
                <w:b/>
                <w:bCs/>
                <w:i w:val="false"/>
                <w:iCs w:val="false"/>
                <w:color w:val="1E7A54"/>
                <w:sz w:val="20"/>
                <w:szCs w:val="20"/>
              </w:rPr>
              <w:t xml:space="preserve">—   </w:t>
            </w:r>
            <w:r>
              <w:rPr>
                <w:rFonts w:ascii="Calibri" w:cs="Calibri" w:eastAsia="Calibri" w:hAnsi="Calibri"/>
                <w:b w:val="false"/>
                <w:bCs w:val="false"/>
                <w:i w:val="false"/>
                <w:iCs w:val="false"/>
                <w:color w:val="4A5068"/>
                <w:sz w:val="19"/>
                <w:szCs w:val="19"/>
              </w:rPr>
              <w:t xml:space="preserve">Names a specific authenticity-screening method and cut-off.</w:t>
            </w:r>
          </w:p>
          <w:p>
            <w:pPr>
              <w:spacing w:after="80" w:line="250"/>
              <w:ind w:left="170" w:hanging="170"/>
            </w:pPr>
            <w:r>
              <w:rPr>
                <w:rFonts w:ascii="Calibri" w:cs="Calibri" w:eastAsia="Calibri" w:hAnsi="Calibri"/>
                <w:b/>
                <w:bCs/>
                <w:i w:val="false"/>
                <w:iCs w:val="false"/>
                <w:color w:val="1E7A54"/>
                <w:sz w:val="20"/>
                <w:szCs w:val="20"/>
              </w:rPr>
              <w:t xml:space="preserve">—   </w:t>
            </w:r>
            <w:r>
              <w:rPr>
                <w:rFonts w:ascii="Calibri" w:cs="Calibri" w:eastAsia="Calibri" w:hAnsi="Calibri"/>
                <w:b w:val="false"/>
                <w:bCs w:val="false"/>
                <w:i w:val="false"/>
                <w:iCs w:val="false"/>
                <w:color w:val="4A5068"/>
                <w:sz w:val="19"/>
                <w:szCs w:val="19"/>
              </w:rPr>
              <w:t xml:space="preserve">Leads with audience composition and relevance rather than follower count.</w:t>
            </w:r>
          </w:p>
          <w:p>
            <w:pPr>
              <w:spacing w:after="80" w:line="250"/>
              <w:ind w:left="170" w:hanging="170"/>
            </w:pPr>
            <w:r>
              <w:rPr>
                <w:rFonts w:ascii="Calibri" w:cs="Calibri" w:eastAsia="Calibri" w:hAnsi="Calibri"/>
                <w:b/>
                <w:bCs/>
                <w:i w:val="false"/>
                <w:iCs w:val="false"/>
                <w:color w:val="1E7A54"/>
                <w:sz w:val="20"/>
                <w:szCs w:val="20"/>
              </w:rPr>
              <w:t xml:space="preserve">—   </w:t>
            </w:r>
            <w:r>
              <w:rPr>
                <w:rFonts w:ascii="Calibri" w:cs="Calibri" w:eastAsia="Calibri" w:hAnsi="Calibri"/>
                <w:b w:val="false"/>
                <w:bCs w:val="false"/>
                <w:i w:val="false"/>
                <w:iCs w:val="false"/>
                <w:color w:val="4A5068"/>
                <w:sz w:val="19"/>
                <w:szCs w:val="19"/>
              </w:rPr>
              <w:t xml:space="preserve">Holds first-party performance history on creators it has booked before.</w:t>
            </w:r>
          </w:p>
        </w:tc>
        <w:tc>
          <w:tcPr>
            <w:tcW w:type="dxa" w:w="4513"/>
            <w:shd w:fill="FDECF1" w:color="auto" w:val="clear"/>
            <w:tcMar>
              <w:top w:type="dxa" w:w="140"/>
              <w:left w:type="dxa" w:w="180"/>
              <w:bottom w:type="dxa" w:w="140"/>
              <w:right w:type="dxa" w:w="180"/>
            </w:tcMar>
          </w:tcPr>
          <w:p>
            <w:pPr>
              <w:spacing w:after="100"/>
            </w:pPr>
            <w:r>
              <w:rPr>
                <w:rFonts w:ascii="Calibri" w:cs="Calibri" w:eastAsia="Calibri" w:hAnsi="Calibri"/>
                <w:b/>
                <w:bCs/>
                <w:i w:val="false"/>
                <w:iCs w:val="false"/>
                <w:color w:val="EE3465"/>
                <w:sz w:val="17"/>
                <w:szCs w:val="17"/>
              </w:rPr>
              <w:t xml:space="preserve">Treat as a red flag</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4A5068"/>
                <w:sz w:val="19"/>
                <w:szCs w:val="19"/>
              </w:rPr>
              <w:t xml:space="preserve">A shortlist arrives with no alternatives and no rationale.</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4A5068"/>
                <w:sz w:val="19"/>
                <w:szCs w:val="19"/>
              </w:rPr>
              <w:t xml:space="preserve">Every single recommendation is roster talent.</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4A5068"/>
                <w:sz w:val="19"/>
                <w:szCs w:val="19"/>
              </w:rPr>
              <w:t xml:space="preserve">Follower count is the headline metric in the pitch.</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4A5068"/>
                <w:sz w:val="19"/>
                <w:szCs w:val="19"/>
              </w:rPr>
              <w:t xml:space="preserve">Cannot explain how fake-follower risk is screened.</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4A5068"/>
                <w:sz w:val="19"/>
                <w:szCs w:val="19"/>
              </w:rPr>
              <w:t xml:space="preserve">Audience geography is assumed from the creator's own location.</w:t>
            </w:r>
          </w:p>
        </w:tc>
      </w:tr>
    </w:tbl>
    <w:p>
      <w:pPr>
        <w:spacing w:after="0" w:before="180"/>
      </w:pPr>
      <w:r>
        <w:rPr>
          <w:rFonts w:ascii="Calibri" w:cs="Calibri" w:eastAsia="Calibri" w:hAnsi="Calibri"/>
          <w:b w:val="false"/>
          <w:bCs w:val="false"/>
          <w:i w:val="false"/>
          <w:iCs w:val="false"/>
          <w:color w:val="4A5068"/>
          <w:sz w:val="2"/>
          <w:szCs w:val="2"/>
        </w:rPr>
        <w:t xml:space="preserve"/>
      </w:r>
    </w:p>
    <w:tbl>
      <w:tblPr>
        <w:tblW w:type="dxa" w:w="9026"/>
        <w:tblBorders>
          <w:top w:val="single" w:color="F9C9D6" w:sz="2"/>
          <w:left w:val="single" w:color="EE3465" w:sz="12"/>
          <w:bottom w:val="single" w:color="F9C9D6" w:sz="2"/>
          <w:right w:val="single" w:color="F9C9D6" w:sz="2"/>
          <w:insideH w:val="none" w:color="FFFFFF" w:sz="0"/>
          <w:insideV w:val="none" w:color="FFFFFF" w:sz="0"/>
        </w:tblBorders>
      </w:tblPr>
      <w:tblGrid>
        <w:gridCol w:w="9026"/>
      </w:tblGrid>
      <w:tr>
        <w:tc>
          <w:tcPr>
            <w:tcW w:type="dxa" w:w="9026"/>
            <w:shd w:fill="FDF9F6" w:color="auto" w:val="clear"/>
            <w:tcMar>
              <w:top w:type="dxa" w:w="150"/>
              <w:left w:type="dxa" w:w="220"/>
              <w:bottom w:type="dxa" w:w="150"/>
              <w:right w:type="dxa" w:w="200"/>
            </w:tcMar>
          </w:tcPr>
          <w:p>
            <w:pPr>
              <w:spacing w:after="100"/>
            </w:pPr>
            <w:r>
              <w:rPr>
                <w:rFonts w:ascii="Calibri" w:cs="Calibri" w:eastAsia="Calibri" w:hAnsi="Calibri"/>
                <w:b/>
                <w:bCs/>
                <w:i w:val="false"/>
                <w:iCs w:val="false"/>
                <w:color w:val="EE3465"/>
                <w:sz w:val="16"/>
                <w:szCs w:val="16"/>
              </w:rPr>
              <w:t xml:space="preserve">WORKING BENCHMARK — WHAT TO REQUIRE</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111C3F"/>
                <w:sz w:val="19"/>
                <w:szCs w:val="19"/>
              </w:rPr>
              <w:t xml:space="preserve">Expect a consideration set materially larger than the shortlist — as a working standard, several creators screened for every slot filled, and at least three viable options presented per slot so you have a real choice.</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111C3F"/>
                <w:sz w:val="19"/>
                <w:szCs w:val="19"/>
              </w:rPr>
              <w:t xml:space="preserve">For a market-specific activation, require in-market audience share per creator; treat a strong majority in-market as the target and anything below roughly 40% as needing justification.</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111C3F"/>
                <w:sz w:val="19"/>
                <w:szCs w:val="19"/>
              </w:rPr>
              <w:t xml:space="preserve">Require suspicious-follower share to be reported per creator, with anything in double digits explained before approval.</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111C3F"/>
                <w:sz w:val="19"/>
                <w:szCs w:val="19"/>
              </w:rPr>
              <w:t xml:space="preserve">Every shortlisted creator scored against the same seven dimensions: audience fit, cultural relevance, content quality, performance history, brand affinity, price, and objective fit.</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111C3F"/>
                <w:sz w:val="19"/>
                <w:szCs w:val="19"/>
              </w:rPr>
              <w:t xml:space="preserve">Ask for the rejected names too. An agency that cannot show you who it ruled out has not run a process.</w:t>
            </w:r>
          </w:p>
        </w:tc>
      </w:tr>
    </w:tbl>
    <w:p>
      <w:pPr>
        <w:spacing w:after="0" w:before="200"/>
      </w:pPr>
      <w:r>
        <w:rPr>
          <w:rFonts w:ascii="Calibri" w:cs="Calibri" w:eastAsia="Calibri" w:hAnsi="Calibri"/>
          <w:b w:val="false"/>
          <w:bCs w:val="false"/>
          <w:i w:val="false"/>
          <w:iCs w:val="false"/>
          <w:color w:val="4A5068"/>
          <w:sz w:val="2"/>
          <w:szCs w:val="2"/>
        </w:rPr>
        <w:t xml:space="preserve"/>
      </w:r>
    </w:p>
    <w:tbl>
      <w:tblPr>
        <w:tblW w:type="dxa" w:w="9026"/>
        <w:tblBorders>
          <w:top w:val="single" w:color="DFE1E8" w:sz="4"/>
          <w:left w:val="single" w:color="DFE1E8" w:sz="4"/>
          <w:bottom w:val="single" w:color="DFE1E8" w:sz="4"/>
          <w:right w:val="single" w:color="DFE1E8" w:sz="4"/>
          <w:insideH w:val="single" w:color="DFE1E8" w:sz="4"/>
          <w:insideV w:val="single" w:color="DFE1E8" w:sz="4"/>
        </w:tblBorders>
      </w:tblPr>
      <w:tblGrid>
        <w:gridCol w:w="1500"/>
        <w:gridCol w:w="7526"/>
      </w:tblGrid>
      <w:tr>
        <w:tc>
          <w:tcPr>
            <w:tcW w:type="dxa" w:w="1500"/>
            <w:shd w:fill="111C3F" w:color="auto" w:val="clear"/>
            <w:tcMar>
              <w:top w:type="dxa" w:w="80"/>
              <w:left w:type="dxa" w:w="140"/>
              <w:bottom w:type="dxa" w:w="80"/>
              <w:right w:type="dxa" w:w="140"/>
            </w:tcMar>
          </w:tcPr>
          <w:p>
            <w:pPr>
              <w:spacing w:after="0"/>
            </w:pPr>
            <w:r>
              <w:rPr>
                <w:rFonts w:ascii="Calibri" w:cs="Calibri" w:eastAsia="Calibri" w:hAnsi="Calibri"/>
                <w:b/>
                <w:bCs/>
                <w:i w:val="false"/>
                <w:iCs w:val="false"/>
                <w:color w:val="FFFFFF"/>
                <w:sz w:val="15"/>
                <w:szCs w:val="15"/>
              </w:rPr>
              <w:t xml:space="preserve">SCORE  0–3</w:t>
            </w:r>
          </w:p>
        </w:tc>
        <w:tc>
          <w:tcPr>
            <w:tcW w:type="dxa" w:w="7526"/>
            <w:shd w:fill="111C3F" w:color="auto" w:val="clear"/>
            <w:tcMar>
              <w:top w:type="dxa" w:w="80"/>
              <w:left w:type="dxa" w:w="140"/>
              <w:bottom w:type="dxa" w:w="80"/>
              <w:right w:type="dxa" w:w="140"/>
            </w:tcMar>
          </w:tcPr>
          <w:p>
            <w:pPr>
              <w:spacing w:after="0"/>
            </w:pPr>
            <w:r>
              <w:rPr>
                <w:rFonts w:ascii="Calibri" w:cs="Calibri" w:eastAsia="Calibri" w:hAnsi="Calibri"/>
                <w:b/>
                <w:bCs/>
                <w:i w:val="false"/>
                <w:iCs w:val="false"/>
                <w:color w:val="FFFFFF"/>
                <w:sz w:val="15"/>
                <w:szCs w:val="15"/>
              </w:rPr>
              <w:t xml:space="preserve">EVIDENCE THEY GAVE — QUOTE SPECIFICS, NOT IMPRESSIONS</w:t>
            </w:r>
          </w:p>
        </w:tc>
      </w:tr>
      <w:tr>
        <w:trPr>
          <w:trHeight w:val="1000" w:hRule="atLeast"/>
        </w:trPr>
        <w:tc>
          <w:tcPr>
            <w:tcW w:type="dxa" w:w="1500"/>
            <w:tcMar>
              <w:top w:type="dxa" w:w="120"/>
              <w:left w:type="dxa" w:w="140"/>
              <w:bottom w:type="dxa" w:w="120"/>
              <w:right w:type="dxa" w:w="140"/>
            </w:tcMar>
            <w:vAlign w:val="center"/>
          </w:tcPr>
          <w:p>
            <w:pPr>
              <w:spacing w:after="0"/>
              <w:jc w:val="center"/>
            </w:pPr>
            <w:r>
              <w:rPr>
                <w:rFonts w:ascii="Calibri" w:cs="Calibri" w:eastAsia="Calibri" w:hAnsi="Calibri"/>
                <w:b w:val="false"/>
                <w:bCs w:val="false"/>
                <w:i w:val="false"/>
                <w:iCs w:val="false"/>
                <w:color w:val="B9BDCB"/>
                <w:sz w:val="24"/>
                <w:szCs w:val="24"/>
              </w:rPr>
              <w:t xml:space="preserve">_______</w:t>
            </w:r>
          </w:p>
        </w:tc>
        <w:tc>
          <w:tcPr>
            <w:tcW w:type="dxa" w:w="7526"/>
            <w:tcMar>
              <w:top w:type="dxa" w:w="120"/>
              <w:left w:type="dxa" w:w="140"/>
              <w:bottom w:type="dxa" w:w="120"/>
              <w:right w:type="dxa" w:w="140"/>
            </w:tcMar>
          </w:tcPr>
          <w:p>
            <w:pPr>
              <w:spacing w:after="0"/>
            </w:pPr>
            <w:r>
              <w:rPr>
                <w:rFonts w:ascii="Calibri" w:cs="Calibri" w:eastAsia="Calibri" w:hAnsi="Calibri"/>
                <w:b w:val="false"/>
                <w:bCs w:val="false"/>
                <w:i w:val="false"/>
                <w:iCs w:val="false"/>
                <w:color w:val="4A5068"/>
                <w:sz w:val="20"/>
                <w:szCs w:val="20"/>
              </w:rPr>
              <w:t xml:space="preserve"/>
            </w:r>
          </w:p>
        </w:tc>
      </w:tr>
    </w:tbl>
    <w:p>
      <w:r>
        <w:br w:type="page"/>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70"/>
        <w:gridCol w:w="8956"/>
      </w:tblGrid>
      <w:tr>
        <w:tc>
          <w:tcPr>
            <w:tcW w:type="dxa" w:w="70"/>
            <w:shd w:fill="EE3465" w:color="auto" w:val="clear"/>
            <w:tcMar>
              <w:top w:type="dxa" w:w="0"/>
              <w:left w:type="dxa" w:w="0"/>
              <w:bottom w:type="dxa" w:w="0"/>
              <w:right w:type="dxa" w:w="0"/>
            </w:tcMar>
          </w:tcPr>
          <w:p>
            <w:r>
              <w:rPr>
                <w:rFonts w:ascii="Calibri" w:cs="Calibri" w:eastAsia="Calibri" w:hAnsi="Calibri"/>
                <w:b w:val="false"/>
                <w:bCs w:val="false"/>
                <w:i w:val="false"/>
                <w:iCs w:val="false"/>
                <w:color w:val="4A5068"/>
                <w:sz w:val="2"/>
                <w:szCs w:val="2"/>
              </w:rPr>
              <w:t xml:space="preserve"/>
            </w:r>
          </w:p>
        </w:tc>
        <w:tc>
          <w:tcPr>
            <w:tcW w:type="dxa" w:w="8956"/>
            <w:tcMar>
              <w:top w:type="dxa" w:w="40"/>
              <w:left w:type="dxa" w:w="200"/>
              <w:bottom w:type="dxa" w:w="40"/>
            </w:tcMar>
            <w:vAlign w:val="center"/>
          </w:tcPr>
          <w:p>
            <w:pPr>
              <w:spacing w:after="0" w:line="260"/>
            </w:pPr>
            <w:r>
              <w:rPr>
                <w:rFonts w:ascii="Calibri" w:cs="Calibri" w:eastAsia="Calibri" w:hAnsi="Calibri"/>
                <w:b/>
                <w:bCs/>
                <w:i w:val="false"/>
                <w:iCs w:val="false"/>
                <w:color w:val="EE3465"/>
                <w:sz w:val="17"/>
                <w:szCs w:val="17"/>
              </w:rPr>
              <w:t xml:space="preserve">Question 3</w:t>
            </w:r>
          </w:p>
          <w:p>
            <w:pPr>
              <w:spacing w:after="0" w:before="20" w:line="300"/>
            </w:pPr>
            <w:r>
              <w:rPr>
                <w:rFonts w:ascii="Calibri" w:cs="Calibri" w:eastAsia="Calibri" w:hAnsi="Calibri"/>
                <w:b/>
                <w:bCs/>
                <w:i w:val="false"/>
                <w:iCs w:val="false"/>
                <w:color w:val="111C3F"/>
                <w:sz w:val="26"/>
                <w:szCs w:val="26"/>
              </w:rPr>
              <w:t xml:space="preserve">Who Can Change a Live Campaign?</w:t>
            </w:r>
          </w:p>
        </w:tc>
      </w:tr>
    </w:tbl>
    <w:p>
      <w:pPr>
        <w:spacing w:after="160" w:before="100"/>
      </w:pPr>
      <w:r>
        <w:rPr>
          <w:rFonts w:ascii="Calibri" w:cs="Calibri" w:eastAsia="Calibri" w:hAnsi="Calibri"/>
          <w:b/>
          <w:bCs/>
          <w:i w:val="false"/>
          <w:iCs w:val="false"/>
          <w:color w:val="EE3465"/>
          <w:sz w:val="16"/>
          <w:szCs w:val="16"/>
        </w:rPr>
        <w:t xml:space="preserve">WHAT IT TESTS:  </w:t>
      </w:r>
      <w:r>
        <w:rPr>
          <w:rFonts w:ascii="Calibri" w:cs="Calibri" w:eastAsia="Calibri" w:hAnsi="Calibri"/>
          <w:b/>
          <w:bCs/>
          <w:i w:val="false"/>
          <w:iCs w:val="false"/>
          <w:color w:val="111C3F"/>
          <w:sz w:val="16"/>
          <w:szCs w:val="16"/>
        </w:rPr>
        <w:t xml:space="preserve">DECISION RIGHTS AND SPEED</w:t>
      </w:r>
    </w:p>
    <w:p>
      <w:pPr>
        <w:spacing w:after="180" w:before="0" w:line="264"/>
      </w:pPr>
      <w:r>
        <w:rPr>
          <w:rFonts w:ascii="Calibri" w:cs="Calibri" w:eastAsia="Calibri" w:hAnsi="Calibri"/>
          <w:b w:val="false"/>
          <w:bCs w:val="false"/>
          <w:i w:val="false"/>
          <w:iCs w:val="false"/>
          <w:color w:val="4A5068"/>
          <w:sz w:val="20"/>
          <w:szCs w:val="20"/>
        </w:rPr>
        <w:t xml:space="preserve">In-flight decisions are where budget is either rescued or wasted, and ambiguity is expensive. If nobody holds delegated authority, every adjustment queues behind a meeting. Vague answers here usually mean the pitch team is not the delivery team — ask for specific roles, ideally the names of the people who will actually hold your account.</w:t>
      </w:r>
    </w:p>
    <w:p>
      <w:pPr>
        <w:spacing w:after="80" w:before="180"/>
      </w:pPr>
      <w:r>
        <w:rPr>
          <w:rFonts w:ascii="Calibri" w:cs="Calibri" w:eastAsia="Calibri" w:hAnsi="Calibri"/>
          <w:b/>
          <w:bCs/>
          <w:i w:val="false"/>
          <w:iCs w:val="false"/>
          <w:color w:val="EE3465"/>
          <w:sz w:val="16"/>
          <w:szCs w:val="16"/>
        </w:rPr>
        <w:t xml:space="preserve">FOLLOW-UP PROBES — ASK THESE VERBATIM</w:t>
      </w:r>
    </w:p>
    <w:p>
      <w:pPr>
        <w:pStyle w:val="ListParagraph"/>
        <w:numPr>
          <w:ilvl w:val="0"/>
          <w:numId w:val="2"/>
        </w:numPr>
        <w:spacing w:after="90" w:line="264"/>
      </w:pPr>
      <w:r>
        <w:rPr>
          <w:rFonts w:ascii="Calibri" w:cs="Calibri" w:eastAsia="Calibri" w:hAnsi="Calibri"/>
          <w:b w:val="false"/>
          <w:bCs w:val="false"/>
          <w:i w:val="false"/>
          <w:iCs w:val="false"/>
          <w:color w:val="4A5068"/>
          <w:sz w:val="20"/>
          <w:szCs w:val="20"/>
        </w:rPr>
        <w:t xml:space="preserve">Name the role that can recommend a change, the role that approves it internally, and what comes to us.</w:t>
      </w:r>
    </w:p>
    <w:p>
      <w:pPr>
        <w:pStyle w:val="ListParagraph"/>
        <w:numPr>
          <w:ilvl w:val="0"/>
          <w:numId w:val="2"/>
        </w:numPr>
        <w:spacing w:after="90" w:line="264"/>
      </w:pPr>
      <w:r>
        <w:rPr>
          <w:rFonts w:ascii="Calibri" w:cs="Calibri" w:eastAsia="Calibri" w:hAnsi="Calibri"/>
          <w:b w:val="false"/>
          <w:bCs w:val="false"/>
          <w:i w:val="false"/>
          <w:iCs w:val="false"/>
          <w:color w:val="4A5068"/>
          <w:sz w:val="20"/>
          <w:szCs w:val="20"/>
        </w:rPr>
        <w:t xml:space="preserve">Which decisions require an additional layer — legal, brand safety, regional leadership?</w:t>
      </w:r>
    </w:p>
    <w:p>
      <w:pPr>
        <w:pStyle w:val="ListParagraph"/>
        <w:numPr>
          <w:ilvl w:val="0"/>
          <w:numId w:val="2"/>
        </w:numPr>
        <w:spacing w:after="90" w:line="264"/>
      </w:pPr>
      <w:r>
        <w:rPr>
          <w:rFonts w:ascii="Calibri" w:cs="Calibri" w:eastAsia="Calibri" w:hAnsi="Calibri"/>
          <w:b w:val="false"/>
          <w:bCs w:val="false"/>
          <w:i w:val="false"/>
          <w:iCs w:val="false"/>
          <w:color w:val="4A5068"/>
          <w:sz w:val="20"/>
          <w:szCs w:val="20"/>
        </w:rPr>
        <w:t xml:space="preserve">What is your target time from signal detected to change live?</w:t>
      </w:r>
    </w:p>
    <w:p>
      <w:pPr>
        <w:pStyle w:val="ListParagraph"/>
        <w:numPr>
          <w:ilvl w:val="0"/>
          <w:numId w:val="2"/>
        </w:numPr>
        <w:spacing w:after="90" w:line="264"/>
      </w:pPr>
      <w:r>
        <w:rPr>
          <w:rFonts w:ascii="Calibri" w:cs="Calibri" w:eastAsia="Calibri" w:hAnsi="Calibri"/>
          <w:b w:val="false"/>
          <w:bCs w:val="false"/>
          <w:i w:val="false"/>
          <w:iCs w:val="false"/>
          <w:color w:val="4A5068"/>
          <w:sz w:val="20"/>
          <w:szCs w:val="20"/>
        </w:rPr>
        <w:t xml:space="preserve">How much budget can you reallocate within an approved plan without new client sign-off?</w:t>
      </w:r>
    </w:p>
    <w:p>
      <w:pPr>
        <w:pStyle w:val="ListParagraph"/>
        <w:numPr>
          <w:ilvl w:val="0"/>
          <w:numId w:val="2"/>
        </w:numPr>
        <w:spacing w:after="90" w:line="264"/>
      </w:pPr>
      <w:r>
        <w:rPr>
          <w:rFonts w:ascii="Calibri" w:cs="Calibri" w:eastAsia="Calibri" w:hAnsi="Calibri"/>
          <w:b w:val="false"/>
          <w:bCs w:val="false"/>
          <w:i w:val="false"/>
          <w:iCs w:val="false"/>
          <w:color w:val="4A5068"/>
          <w:sz w:val="20"/>
          <w:szCs w:val="20"/>
        </w:rPr>
        <w:t xml:space="preserve">Who can pause or pull live content, how quickly, and what is the out-of-hours path?</w:t>
      </w:r>
    </w:p>
    <w:p>
      <w:pPr>
        <w:pStyle w:val="ListParagraph"/>
        <w:numPr>
          <w:ilvl w:val="0"/>
          <w:numId w:val="2"/>
        </w:numPr>
        <w:spacing w:after="90" w:line="264"/>
      </w:pPr>
      <w:r>
        <w:rPr>
          <w:rFonts w:ascii="Calibri" w:cs="Calibri" w:eastAsia="Calibri" w:hAnsi="Calibri"/>
          <w:b w:val="false"/>
          <w:bCs w:val="false"/>
          <w:i w:val="false"/>
          <w:iCs w:val="false"/>
          <w:color w:val="4A5068"/>
          <w:sz w:val="20"/>
          <w:szCs w:val="20"/>
        </w:rPr>
        <w:t xml:space="preserve">What happens when our day-to-day lead is on leave? Who is the named backup?</w:t>
      </w:r>
    </w:p>
    <w:p>
      <w:r>
        <w:br w:type="page"/>
      </w:r>
    </w:p>
    <w:p>
      <w:pPr>
        <w:spacing w:after="60"/>
      </w:pPr>
      <w:r>
        <w:rPr>
          <w:rFonts w:ascii="Calibri" w:cs="Calibri" w:eastAsia="Calibri" w:hAnsi="Calibri"/>
          <w:b/>
          <w:bCs/>
          <w:i w:val="false"/>
          <w:iCs w:val="false"/>
          <w:color w:val="EE3465"/>
          <w:sz w:val="16"/>
          <w:szCs w:val="16"/>
        </w:rPr>
        <w:t xml:space="preserve">QUESTION 3</w:t>
      </w:r>
      <w:r>
        <w:rPr>
          <w:rFonts w:ascii="Calibri" w:cs="Calibri" w:eastAsia="Calibri" w:hAnsi="Calibri"/>
          <w:b/>
          <w:bCs/>
          <w:i w:val="false"/>
          <w:iCs w:val="false"/>
          <w:color w:val="F9C9D6"/>
          <w:sz w:val="16"/>
          <w:szCs w:val="16"/>
        </w:rPr>
        <w:t xml:space="preserve">  ·  </w:t>
      </w:r>
      <w:r>
        <w:rPr>
          <w:rFonts w:ascii="Calibri" w:cs="Calibri" w:eastAsia="Calibri" w:hAnsi="Calibri"/>
          <w:b/>
          <w:bCs/>
          <w:i w:val="false"/>
          <w:iCs w:val="false"/>
          <w:color w:val="111C3F"/>
          <w:sz w:val="16"/>
          <w:szCs w:val="16"/>
        </w:rPr>
        <w:t xml:space="preserve">DECISION RIGHTS AND SPEED  ·  ASSESSING THE ANSWER</w:t>
      </w:r>
    </w:p>
    <w:p>
      <w:pPr>
        <w:pBdr>
          <w:bottom w:val="single" w:color="F9C9D6" w:sz="6"/>
        </w:pBdr>
        <w:spacing w:after="220"/>
      </w:pPr>
      <w:r>
        <w:rPr>
          <w:rFonts w:ascii="Calibri" w:cs="Calibri" w:eastAsia="Calibri" w:hAnsi="Calibri"/>
          <w:b w:val="false"/>
          <w:bCs w:val="false"/>
          <w:i w:val="false"/>
          <w:iCs w:val="false"/>
          <w:color w:val="4A5068"/>
          <w:sz w:val="2"/>
          <w:szCs w:val="2"/>
        </w:rPr>
        <w:t xml:space="preserve"/>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4513"/>
        <w:gridCol w:w="4513"/>
      </w:tblGrid>
      <w:tr>
        <w:tc>
          <w:tcPr>
            <w:tcW w:type="dxa" w:w="4513"/>
            <w:shd w:fill="EAF5F0" w:color="auto" w:val="clear"/>
            <w:tcMar>
              <w:top w:type="dxa" w:w="140"/>
              <w:left w:type="dxa" w:w="180"/>
              <w:bottom w:type="dxa" w:w="140"/>
              <w:right w:type="dxa" w:w="180"/>
            </w:tcMar>
          </w:tcPr>
          <w:p>
            <w:pPr>
              <w:spacing w:after="100"/>
            </w:pPr>
            <w:r>
              <w:rPr>
                <w:rFonts w:ascii="Calibri" w:cs="Calibri" w:eastAsia="Calibri" w:hAnsi="Calibri"/>
                <w:b/>
                <w:bCs/>
                <w:i w:val="false"/>
                <w:iCs w:val="false"/>
                <w:color w:val="1E7A54"/>
                <w:sz w:val="17"/>
                <w:szCs w:val="17"/>
              </w:rPr>
              <w:t xml:space="preserve">Strong answer sounds like</w:t>
            </w:r>
          </w:p>
          <w:p>
            <w:pPr>
              <w:spacing w:after="80" w:line="250"/>
              <w:ind w:left="170" w:hanging="170"/>
            </w:pPr>
            <w:r>
              <w:rPr>
                <w:rFonts w:ascii="Calibri" w:cs="Calibri" w:eastAsia="Calibri" w:hAnsi="Calibri"/>
                <w:b/>
                <w:bCs/>
                <w:i w:val="false"/>
                <w:iCs w:val="false"/>
                <w:color w:val="1E7A54"/>
                <w:sz w:val="20"/>
                <w:szCs w:val="20"/>
              </w:rPr>
              <w:t xml:space="preserve">—   </w:t>
            </w:r>
            <w:r>
              <w:rPr>
                <w:rFonts w:ascii="Calibri" w:cs="Calibri" w:eastAsia="Calibri" w:hAnsi="Calibri"/>
                <w:b w:val="false"/>
                <w:bCs w:val="false"/>
                <w:i w:val="false"/>
                <w:iCs w:val="false"/>
                <w:color w:val="4A5068"/>
                <w:sz w:val="19"/>
                <w:szCs w:val="19"/>
              </w:rPr>
              <w:t xml:space="preserve">Names actual roles and, better, the actual people on your account.</w:t>
            </w:r>
          </w:p>
          <w:p>
            <w:pPr>
              <w:spacing w:after="80" w:line="250"/>
              <w:ind w:left="170" w:hanging="170"/>
            </w:pPr>
            <w:r>
              <w:rPr>
                <w:rFonts w:ascii="Calibri" w:cs="Calibri" w:eastAsia="Calibri" w:hAnsi="Calibri"/>
                <w:b/>
                <w:bCs/>
                <w:i w:val="false"/>
                <w:iCs w:val="false"/>
                <w:color w:val="1E7A54"/>
                <w:sz w:val="20"/>
                <w:szCs w:val="20"/>
              </w:rPr>
              <w:t xml:space="preserve">—   </w:t>
            </w:r>
            <w:r>
              <w:rPr>
                <w:rFonts w:ascii="Calibri" w:cs="Calibri" w:eastAsia="Calibri" w:hAnsi="Calibri"/>
                <w:b w:val="false"/>
                <w:bCs w:val="false"/>
                <w:i w:val="false"/>
                <w:iCs w:val="false"/>
                <w:color w:val="4A5068"/>
                <w:sz w:val="19"/>
                <w:szCs w:val="19"/>
              </w:rPr>
              <w:t xml:space="preserve">Has pre-agreed reallocation thresholds rather than case-by-case escalation.</w:t>
            </w:r>
          </w:p>
          <w:p>
            <w:pPr>
              <w:spacing w:after="80" w:line="250"/>
              <w:ind w:left="170" w:hanging="170"/>
            </w:pPr>
            <w:r>
              <w:rPr>
                <w:rFonts w:ascii="Calibri" w:cs="Calibri" w:eastAsia="Calibri" w:hAnsi="Calibri"/>
                <w:b/>
                <w:bCs/>
                <w:i w:val="false"/>
                <w:iCs w:val="false"/>
                <w:color w:val="1E7A54"/>
                <w:sz w:val="20"/>
                <w:szCs w:val="20"/>
              </w:rPr>
              <w:t xml:space="preserve">—   </w:t>
            </w:r>
            <w:r>
              <w:rPr>
                <w:rFonts w:ascii="Calibri" w:cs="Calibri" w:eastAsia="Calibri" w:hAnsi="Calibri"/>
                <w:b w:val="false"/>
                <w:bCs w:val="false"/>
                <w:i w:val="false"/>
                <w:iCs w:val="false"/>
                <w:color w:val="4A5068"/>
                <w:sz w:val="19"/>
                <w:szCs w:val="19"/>
              </w:rPr>
              <w:t xml:space="preserve">Separates reversible low-risk calls from irreversible high-risk ones.</w:t>
            </w:r>
          </w:p>
          <w:p>
            <w:pPr>
              <w:spacing w:after="80" w:line="250"/>
              <w:ind w:left="170" w:hanging="170"/>
            </w:pPr>
            <w:r>
              <w:rPr>
                <w:rFonts w:ascii="Calibri" w:cs="Calibri" w:eastAsia="Calibri" w:hAnsi="Calibri"/>
                <w:b/>
                <w:bCs/>
                <w:i w:val="false"/>
                <w:iCs w:val="false"/>
                <w:color w:val="1E7A54"/>
                <w:sz w:val="20"/>
                <w:szCs w:val="20"/>
              </w:rPr>
              <w:t xml:space="preserve">—   </w:t>
            </w:r>
            <w:r>
              <w:rPr>
                <w:rFonts w:ascii="Calibri" w:cs="Calibri" w:eastAsia="Calibri" w:hAnsi="Calibri"/>
                <w:b w:val="false"/>
                <w:bCs w:val="false"/>
                <w:i w:val="false"/>
                <w:iCs w:val="false"/>
                <w:color w:val="4A5068"/>
                <w:sz w:val="19"/>
                <w:szCs w:val="19"/>
              </w:rPr>
              <w:t xml:space="preserve">Documented brand-safety pull process with a hard time commitment.</w:t>
            </w:r>
          </w:p>
          <w:p>
            <w:pPr>
              <w:spacing w:after="80" w:line="250"/>
              <w:ind w:left="170" w:hanging="170"/>
            </w:pPr>
            <w:r>
              <w:rPr>
                <w:rFonts w:ascii="Calibri" w:cs="Calibri" w:eastAsia="Calibri" w:hAnsi="Calibri"/>
                <w:b/>
                <w:bCs/>
                <w:i w:val="false"/>
                <w:iCs w:val="false"/>
                <w:color w:val="1E7A54"/>
                <w:sz w:val="20"/>
                <w:szCs w:val="20"/>
              </w:rPr>
              <w:t xml:space="preserve">—   </w:t>
            </w:r>
            <w:r>
              <w:rPr>
                <w:rFonts w:ascii="Calibri" w:cs="Calibri" w:eastAsia="Calibri" w:hAnsi="Calibri"/>
                <w:b w:val="false"/>
                <w:bCs w:val="false"/>
                <w:i w:val="false"/>
                <w:iCs w:val="false"/>
                <w:color w:val="4A5068"/>
                <w:sz w:val="19"/>
                <w:szCs w:val="19"/>
              </w:rPr>
              <w:t xml:space="preserve">The pitch team visibly overlaps with the delivery team.</w:t>
            </w:r>
          </w:p>
        </w:tc>
        <w:tc>
          <w:tcPr>
            <w:tcW w:type="dxa" w:w="4513"/>
            <w:shd w:fill="FDECF1" w:color="auto" w:val="clear"/>
            <w:tcMar>
              <w:top w:type="dxa" w:w="140"/>
              <w:left w:type="dxa" w:w="180"/>
              <w:bottom w:type="dxa" w:w="140"/>
              <w:right w:type="dxa" w:w="180"/>
            </w:tcMar>
          </w:tcPr>
          <w:p>
            <w:pPr>
              <w:spacing w:after="100"/>
            </w:pPr>
            <w:r>
              <w:rPr>
                <w:rFonts w:ascii="Calibri" w:cs="Calibri" w:eastAsia="Calibri" w:hAnsi="Calibri"/>
                <w:b/>
                <w:bCs/>
                <w:i w:val="false"/>
                <w:iCs w:val="false"/>
                <w:color w:val="EE3465"/>
                <w:sz w:val="17"/>
                <w:szCs w:val="17"/>
              </w:rPr>
              <w:t xml:space="preserve">Treat as a red flag</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4A5068"/>
                <w:sz w:val="19"/>
                <w:szCs w:val="19"/>
              </w:rPr>
              <w:t xml:space="preserve">"We would discuss it with you" applied to every decision type.</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4A5068"/>
                <w:sz w:val="19"/>
                <w:szCs w:val="19"/>
              </w:rPr>
              <w:t xml:space="preserve">Cannot say who approves a change internally.</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4A5068"/>
                <w:sz w:val="19"/>
                <w:szCs w:val="19"/>
              </w:rPr>
              <w:t xml:space="preserve">No out-of-hours or weekend escalation route.</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4A5068"/>
                <w:sz w:val="19"/>
                <w:szCs w:val="19"/>
              </w:rPr>
              <w:t xml:space="preserve">Named delivery team is unavailable to meet during the pitch.</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4A5068"/>
                <w:sz w:val="19"/>
                <w:szCs w:val="19"/>
              </w:rPr>
              <w:t xml:space="preserve">Brand-safety response measured in days.</w:t>
            </w:r>
          </w:p>
        </w:tc>
      </w:tr>
    </w:tbl>
    <w:p>
      <w:pPr>
        <w:spacing w:after="0" w:before="180"/>
      </w:pPr>
      <w:r>
        <w:rPr>
          <w:rFonts w:ascii="Calibri" w:cs="Calibri" w:eastAsia="Calibri" w:hAnsi="Calibri"/>
          <w:b w:val="false"/>
          <w:bCs w:val="false"/>
          <w:i w:val="false"/>
          <w:iCs w:val="false"/>
          <w:color w:val="4A5068"/>
          <w:sz w:val="2"/>
          <w:szCs w:val="2"/>
        </w:rPr>
        <w:t xml:space="preserve"/>
      </w:r>
    </w:p>
    <w:tbl>
      <w:tblPr>
        <w:tblW w:type="dxa" w:w="9026"/>
        <w:tblBorders>
          <w:top w:val="single" w:color="F9C9D6" w:sz="2"/>
          <w:left w:val="single" w:color="EE3465" w:sz="12"/>
          <w:bottom w:val="single" w:color="F9C9D6" w:sz="2"/>
          <w:right w:val="single" w:color="F9C9D6" w:sz="2"/>
          <w:insideH w:val="none" w:color="FFFFFF" w:sz="0"/>
          <w:insideV w:val="none" w:color="FFFFFF" w:sz="0"/>
        </w:tblBorders>
      </w:tblPr>
      <w:tblGrid>
        <w:gridCol w:w="9026"/>
      </w:tblGrid>
      <w:tr>
        <w:tc>
          <w:tcPr>
            <w:tcW w:type="dxa" w:w="9026"/>
            <w:shd w:fill="FDF9F6" w:color="auto" w:val="clear"/>
            <w:tcMar>
              <w:top w:type="dxa" w:w="150"/>
              <w:left w:type="dxa" w:w="220"/>
              <w:bottom w:type="dxa" w:w="150"/>
              <w:right w:type="dxa" w:w="200"/>
            </w:tcMar>
          </w:tcPr>
          <w:p>
            <w:pPr>
              <w:spacing w:after="100"/>
            </w:pPr>
            <w:r>
              <w:rPr>
                <w:rFonts w:ascii="Calibri" w:cs="Calibri" w:eastAsia="Calibri" w:hAnsi="Calibri"/>
                <w:b/>
                <w:bCs/>
                <w:i w:val="false"/>
                <w:iCs w:val="false"/>
                <w:color w:val="EE3465"/>
                <w:sz w:val="16"/>
                <w:szCs w:val="16"/>
              </w:rPr>
              <w:t xml:space="preserve">WORKING BENCHMARK — WHAT TO REQUIRE</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111C3F"/>
                <w:sz w:val="19"/>
                <w:szCs w:val="19"/>
              </w:rPr>
              <w:t xml:space="preserve">Brand safety or content pull: acknowledged within an hour and actioned within four, around the clock — put this in the SOW as a service level, not an aspiration.</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111C3F"/>
                <w:sz w:val="19"/>
                <w:szCs w:val="19"/>
              </w:rPr>
              <w:t xml:space="preserve">Creative swap or budget reallocation on underperformance: decision inside 48 hours, change live within about five working days.</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111C3F"/>
                <w:sz w:val="19"/>
                <w:szCs w:val="19"/>
              </w:rPr>
              <w:t xml:space="preserve">Pre-agreed delegated authority to shift a modest share of an approved line item — commonly in the region of 10–15% — without a fresh approval cycle.</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111C3F"/>
                <w:sz w:val="19"/>
                <w:szCs w:val="19"/>
              </w:rPr>
              <w:t xml:space="preserve">A named primary and named backup contact for every priority market, with direct contact details.</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111C3F"/>
                <w:sz w:val="19"/>
                <w:szCs w:val="19"/>
              </w:rPr>
              <w:t xml:space="preserve">A completed decision-rights table signed off before launch, covering strategy, creator selection, creative approval, budget, measurement, brand safety, and optimisation.</w:t>
            </w:r>
          </w:p>
        </w:tc>
      </w:tr>
    </w:tbl>
    <w:p>
      <w:pPr>
        <w:spacing w:after="0" w:before="200"/>
      </w:pPr>
      <w:r>
        <w:rPr>
          <w:rFonts w:ascii="Calibri" w:cs="Calibri" w:eastAsia="Calibri" w:hAnsi="Calibri"/>
          <w:b w:val="false"/>
          <w:bCs w:val="false"/>
          <w:i w:val="false"/>
          <w:iCs w:val="false"/>
          <w:color w:val="4A5068"/>
          <w:sz w:val="2"/>
          <w:szCs w:val="2"/>
        </w:rPr>
        <w:t xml:space="preserve"/>
      </w:r>
    </w:p>
    <w:tbl>
      <w:tblPr>
        <w:tblW w:type="dxa" w:w="9026"/>
        <w:tblBorders>
          <w:top w:val="single" w:color="DFE1E8" w:sz="4"/>
          <w:left w:val="single" w:color="DFE1E8" w:sz="4"/>
          <w:bottom w:val="single" w:color="DFE1E8" w:sz="4"/>
          <w:right w:val="single" w:color="DFE1E8" w:sz="4"/>
          <w:insideH w:val="single" w:color="DFE1E8" w:sz="4"/>
          <w:insideV w:val="single" w:color="DFE1E8" w:sz="4"/>
        </w:tblBorders>
      </w:tblPr>
      <w:tblGrid>
        <w:gridCol w:w="1500"/>
        <w:gridCol w:w="7526"/>
      </w:tblGrid>
      <w:tr>
        <w:tc>
          <w:tcPr>
            <w:tcW w:type="dxa" w:w="1500"/>
            <w:shd w:fill="111C3F" w:color="auto" w:val="clear"/>
            <w:tcMar>
              <w:top w:type="dxa" w:w="80"/>
              <w:left w:type="dxa" w:w="140"/>
              <w:bottom w:type="dxa" w:w="80"/>
              <w:right w:type="dxa" w:w="140"/>
            </w:tcMar>
          </w:tcPr>
          <w:p>
            <w:pPr>
              <w:spacing w:after="0"/>
            </w:pPr>
            <w:r>
              <w:rPr>
                <w:rFonts w:ascii="Calibri" w:cs="Calibri" w:eastAsia="Calibri" w:hAnsi="Calibri"/>
                <w:b/>
                <w:bCs/>
                <w:i w:val="false"/>
                <w:iCs w:val="false"/>
                <w:color w:val="FFFFFF"/>
                <w:sz w:val="15"/>
                <w:szCs w:val="15"/>
              </w:rPr>
              <w:t xml:space="preserve">SCORE  0–3</w:t>
            </w:r>
          </w:p>
        </w:tc>
        <w:tc>
          <w:tcPr>
            <w:tcW w:type="dxa" w:w="7526"/>
            <w:shd w:fill="111C3F" w:color="auto" w:val="clear"/>
            <w:tcMar>
              <w:top w:type="dxa" w:w="80"/>
              <w:left w:type="dxa" w:w="140"/>
              <w:bottom w:type="dxa" w:w="80"/>
              <w:right w:type="dxa" w:w="140"/>
            </w:tcMar>
          </w:tcPr>
          <w:p>
            <w:pPr>
              <w:spacing w:after="0"/>
            </w:pPr>
            <w:r>
              <w:rPr>
                <w:rFonts w:ascii="Calibri" w:cs="Calibri" w:eastAsia="Calibri" w:hAnsi="Calibri"/>
                <w:b/>
                <w:bCs/>
                <w:i w:val="false"/>
                <w:iCs w:val="false"/>
                <w:color w:val="FFFFFF"/>
                <w:sz w:val="15"/>
                <w:szCs w:val="15"/>
              </w:rPr>
              <w:t xml:space="preserve">EVIDENCE THEY GAVE — QUOTE SPECIFICS, NOT IMPRESSIONS</w:t>
            </w:r>
          </w:p>
        </w:tc>
      </w:tr>
      <w:tr>
        <w:trPr>
          <w:trHeight w:val="1000" w:hRule="atLeast"/>
        </w:trPr>
        <w:tc>
          <w:tcPr>
            <w:tcW w:type="dxa" w:w="1500"/>
            <w:tcMar>
              <w:top w:type="dxa" w:w="120"/>
              <w:left w:type="dxa" w:w="140"/>
              <w:bottom w:type="dxa" w:w="120"/>
              <w:right w:type="dxa" w:w="140"/>
            </w:tcMar>
            <w:vAlign w:val="center"/>
          </w:tcPr>
          <w:p>
            <w:pPr>
              <w:spacing w:after="0"/>
              <w:jc w:val="center"/>
            </w:pPr>
            <w:r>
              <w:rPr>
                <w:rFonts w:ascii="Calibri" w:cs="Calibri" w:eastAsia="Calibri" w:hAnsi="Calibri"/>
                <w:b w:val="false"/>
                <w:bCs w:val="false"/>
                <w:i w:val="false"/>
                <w:iCs w:val="false"/>
                <w:color w:val="B9BDCB"/>
                <w:sz w:val="24"/>
                <w:szCs w:val="24"/>
              </w:rPr>
              <w:t xml:space="preserve">_______</w:t>
            </w:r>
          </w:p>
        </w:tc>
        <w:tc>
          <w:tcPr>
            <w:tcW w:type="dxa" w:w="7526"/>
            <w:tcMar>
              <w:top w:type="dxa" w:w="120"/>
              <w:left w:type="dxa" w:w="140"/>
              <w:bottom w:type="dxa" w:w="120"/>
              <w:right w:type="dxa" w:w="140"/>
            </w:tcMar>
          </w:tcPr>
          <w:p>
            <w:pPr>
              <w:spacing w:after="0"/>
            </w:pPr>
            <w:r>
              <w:rPr>
                <w:rFonts w:ascii="Calibri" w:cs="Calibri" w:eastAsia="Calibri" w:hAnsi="Calibri"/>
                <w:b w:val="false"/>
                <w:bCs w:val="false"/>
                <w:i w:val="false"/>
                <w:iCs w:val="false"/>
                <w:color w:val="4A5068"/>
                <w:sz w:val="20"/>
                <w:szCs w:val="20"/>
              </w:rPr>
              <w:t xml:space="preserve"/>
            </w:r>
          </w:p>
        </w:tc>
      </w:tr>
    </w:tbl>
    <w:p>
      <w:r>
        <w:br w:type="page"/>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70"/>
        <w:gridCol w:w="8956"/>
      </w:tblGrid>
      <w:tr>
        <w:tc>
          <w:tcPr>
            <w:tcW w:type="dxa" w:w="70"/>
            <w:shd w:fill="EE3465" w:color="auto" w:val="clear"/>
            <w:tcMar>
              <w:top w:type="dxa" w:w="0"/>
              <w:left w:type="dxa" w:w="0"/>
              <w:bottom w:type="dxa" w:w="0"/>
              <w:right w:type="dxa" w:w="0"/>
            </w:tcMar>
          </w:tcPr>
          <w:p>
            <w:r>
              <w:rPr>
                <w:rFonts w:ascii="Calibri" w:cs="Calibri" w:eastAsia="Calibri" w:hAnsi="Calibri"/>
                <w:b w:val="false"/>
                <w:bCs w:val="false"/>
                <w:i w:val="false"/>
                <w:iCs w:val="false"/>
                <w:color w:val="4A5068"/>
                <w:sz w:val="2"/>
                <w:szCs w:val="2"/>
              </w:rPr>
              <w:t xml:space="preserve"/>
            </w:r>
          </w:p>
        </w:tc>
        <w:tc>
          <w:tcPr>
            <w:tcW w:type="dxa" w:w="8956"/>
            <w:tcMar>
              <w:top w:type="dxa" w:w="40"/>
              <w:left w:type="dxa" w:w="200"/>
              <w:bottom w:type="dxa" w:w="40"/>
            </w:tcMar>
            <w:vAlign w:val="center"/>
          </w:tcPr>
          <w:p>
            <w:pPr>
              <w:spacing w:after="0" w:line="260"/>
            </w:pPr>
            <w:r>
              <w:rPr>
                <w:rFonts w:ascii="Calibri" w:cs="Calibri" w:eastAsia="Calibri" w:hAnsi="Calibri"/>
                <w:b/>
                <w:bCs/>
                <w:i w:val="false"/>
                <w:iCs w:val="false"/>
                <w:color w:val="EE3465"/>
                <w:sz w:val="17"/>
                <w:szCs w:val="17"/>
              </w:rPr>
              <w:t xml:space="preserve">Question 4</w:t>
            </w:r>
          </w:p>
          <w:p>
            <w:pPr>
              <w:spacing w:after="0" w:before="20" w:line="300"/>
            </w:pPr>
            <w:r>
              <w:rPr>
                <w:rFonts w:ascii="Calibri" w:cs="Calibri" w:eastAsia="Calibri" w:hAnsi="Calibri"/>
                <w:b/>
                <w:bCs/>
                <w:i w:val="false"/>
                <w:iCs w:val="false"/>
                <w:color w:val="111C3F"/>
                <w:sz w:val="26"/>
                <w:szCs w:val="26"/>
              </w:rPr>
              <w:t xml:space="preserve">Can the Agency Show a Campaign Where Live Data Changed the Plan?</w:t>
            </w:r>
          </w:p>
        </w:tc>
      </w:tr>
    </w:tbl>
    <w:p>
      <w:pPr>
        <w:spacing w:after="160" w:before="100"/>
      </w:pPr>
      <w:r>
        <w:rPr>
          <w:rFonts w:ascii="Calibri" w:cs="Calibri" w:eastAsia="Calibri" w:hAnsi="Calibri"/>
          <w:b/>
          <w:bCs/>
          <w:i w:val="false"/>
          <w:iCs w:val="false"/>
          <w:color w:val="EE3465"/>
          <w:sz w:val="16"/>
          <w:szCs w:val="16"/>
        </w:rPr>
        <w:t xml:space="preserve">WHAT IT TESTS:  </w:t>
      </w:r>
      <w:r>
        <w:rPr>
          <w:rFonts w:ascii="Calibri" w:cs="Calibri" w:eastAsia="Calibri" w:hAnsi="Calibri"/>
          <w:b/>
          <w:bCs/>
          <w:i w:val="false"/>
          <w:iCs w:val="false"/>
          <w:color w:val="111C3F"/>
          <w:sz w:val="16"/>
          <w:szCs w:val="16"/>
        </w:rPr>
        <w:t xml:space="preserve">OPTIMISATION VERSUS REPORTING</w:t>
      </w:r>
    </w:p>
    <w:p>
      <w:pPr>
        <w:spacing w:after="180" w:before="0" w:line="264"/>
      </w:pPr>
      <w:r>
        <w:rPr>
          <w:rFonts w:ascii="Calibri" w:cs="Calibri" w:eastAsia="Calibri" w:hAnsi="Calibri"/>
          <w:b w:val="false"/>
          <w:bCs w:val="false"/>
          <w:i w:val="false"/>
          <w:iCs w:val="false"/>
          <w:color w:val="4A5068"/>
          <w:sz w:val="20"/>
          <w:szCs w:val="20"/>
        </w:rPr>
        <w:t xml:space="preserve">Any agency can report on a campaign after it ends. The question is whether measurement actually causes action while there is still budget left to redirect. A change made in the final week is a post-mortem with better timing. What you want is evidence of a decision taken while it still mattered.</w:t>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1805"/>
        <w:gridCol w:w="1805"/>
        <w:gridCol w:w="1805"/>
        <w:gridCol w:w="1805"/>
        <w:gridCol w:w="1806"/>
      </w:tblGrid>
      <w:tr>
        <w:tc>
          <w:tcPr>
            <w:tcW w:type="dxa" w:w="1805"/>
            <w:shd w:fill="FDECF1" w:color="auto" w:val="clear"/>
            <w:tcMar>
              <w:top w:type="dxa" w:w="120"/>
              <w:left w:type="dxa" w:w="60"/>
              <w:bottom w:type="dxa" w:w="120"/>
              <w:right w:type="dxa" w:w="60"/>
            </w:tcMar>
            <w:vAlign w:val="center"/>
          </w:tcPr>
          <w:p>
            <w:pPr>
              <w:spacing w:after="0"/>
              <w:jc w:val="center"/>
            </w:pPr>
            <w:r>
              <w:rPr>
                <w:rFonts w:ascii="Calibri" w:cs="Calibri" w:eastAsia="Calibri" w:hAnsi="Calibri"/>
                <w:b/>
                <w:bCs/>
                <w:i w:val="false"/>
                <w:iCs w:val="false"/>
                <w:color w:val="EE3465"/>
                <w:sz w:val="16"/>
                <w:szCs w:val="16"/>
              </w:rPr>
              <w:t xml:space="preserve">SIGNAL</w:t>
            </w:r>
          </w:p>
        </w:tc>
        <w:tc>
          <w:tcPr>
            <w:tcW w:type="dxa" w:w="1805"/>
            <w:shd w:fill="FDF9F6" w:color="auto" w:val="clear"/>
            <w:tcMar>
              <w:top w:type="dxa" w:w="120"/>
              <w:left w:type="dxa" w:w="60"/>
              <w:bottom w:type="dxa" w:w="120"/>
              <w:right w:type="dxa" w:w="60"/>
            </w:tcMar>
            <w:vAlign w:val="center"/>
          </w:tcPr>
          <w:p>
            <w:pPr>
              <w:spacing w:after="0"/>
              <w:jc w:val="center"/>
            </w:pPr>
            <w:r>
              <w:rPr>
                <w:rFonts w:ascii="Calibri" w:cs="Calibri" w:eastAsia="Calibri" w:hAnsi="Calibri"/>
                <w:b/>
                <w:bCs/>
                <w:i w:val="false"/>
                <w:iCs w:val="false"/>
                <w:color w:val="EE3465"/>
                <w:sz w:val="16"/>
                <w:szCs w:val="16"/>
              </w:rPr>
              <w:t xml:space="preserve">INSIGHT</w:t>
            </w:r>
          </w:p>
        </w:tc>
        <w:tc>
          <w:tcPr>
            <w:tcW w:type="dxa" w:w="1805"/>
            <w:shd w:fill="FDECF1" w:color="auto" w:val="clear"/>
            <w:tcMar>
              <w:top w:type="dxa" w:w="120"/>
              <w:left w:type="dxa" w:w="60"/>
              <w:bottom w:type="dxa" w:w="120"/>
              <w:right w:type="dxa" w:w="60"/>
            </w:tcMar>
            <w:vAlign w:val="center"/>
          </w:tcPr>
          <w:p>
            <w:pPr>
              <w:spacing w:after="0"/>
              <w:jc w:val="center"/>
            </w:pPr>
            <w:r>
              <w:rPr>
                <w:rFonts w:ascii="Calibri" w:cs="Calibri" w:eastAsia="Calibri" w:hAnsi="Calibri"/>
                <w:b/>
                <w:bCs/>
                <w:i w:val="false"/>
                <w:iCs w:val="false"/>
                <w:color w:val="EE3465"/>
                <w:sz w:val="16"/>
                <w:szCs w:val="16"/>
              </w:rPr>
              <w:t xml:space="preserve">DECISION</w:t>
            </w:r>
          </w:p>
        </w:tc>
        <w:tc>
          <w:tcPr>
            <w:tcW w:type="dxa" w:w="1805"/>
            <w:shd w:fill="FDF9F6" w:color="auto" w:val="clear"/>
            <w:tcMar>
              <w:top w:type="dxa" w:w="120"/>
              <w:left w:type="dxa" w:w="60"/>
              <w:bottom w:type="dxa" w:w="120"/>
              <w:right w:type="dxa" w:w="60"/>
            </w:tcMar>
            <w:vAlign w:val="center"/>
          </w:tcPr>
          <w:p>
            <w:pPr>
              <w:spacing w:after="0"/>
              <w:jc w:val="center"/>
            </w:pPr>
            <w:r>
              <w:rPr>
                <w:rFonts w:ascii="Calibri" w:cs="Calibri" w:eastAsia="Calibri" w:hAnsi="Calibri"/>
                <w:b/>
                <w:bCs/>
                <w:i w:val="false"/>
                <w:iCs w:val="false"/>
                <w:color w:val="EE3465"/>
                <w:sz w:val="16"/>
                <w:szCs w:val="16"/>
              </w:rPr>
              <w:t xml:space="preserve">ACTION</w:t>
            </w:r>
          </w:p>
        </w:tc>
        <w:tc>
          <w:tcPr>
            <w:tcW w:type="dxa" w:w="1806"/>
            <w:shd w:fill="FDECF1" w:color="auto" w:val="clear"/>
            <w:tcMar>
              <w:top w:type="dxa" w:w="120"/>
              <w:left w:type="dxa" w:w="60"/>
              <w:bottom w:type="dxa" w:w="120"/>
              <w:right w:type="dxa" w:w="60"/>
            </w:tcMar>
            <w:vAlign w:val="center"/>
          </w:tcPr>
          <w:p>
            <w:pPr>
              <w:spacing w:after="0"/>
              <w:jc w:val="center"/>
            </w:pPr>
            <w:r>
              <w:rPr>
                <w:rFonts w:ascii="Calibri" w:cs="Calibri" w:eastAsia="Calibri" w:hAnsi="Calibri"/>
                <w:b/>
                <w:bCs/>
                <w:i w:val="false"/>
                <w:iCs w:val="false"/>
                <w:color w:val="EE3465"/>
                <w:sz w:val="16"/>
                <w:szCs w:val="16"/>
              </w:rPr>
              <w:t xml:space="preserve">OUTCOME</w:t>
            </w:r>
          </w:p>
        </w:tc>
      </w:tr>
    </w:tbl>
    <w:p>
      <w:pPr>
        <w:spacing w:after="180" w:before="100" w:line="264"/>
      </w:pPr>
      <w:r>
        <w:rPr>
          <w:rFonts w:ascii="Calibri" w:cs="Calibri" w:eastAsia="Calibri" w:hAnsi="Calibri"/>
          <w:b w:val="false"/>
          <w:bCs w:val="false"/>
          <w:i/>
          <w:iCs/>
          <w:color w:val="4A5068"/>
          <w:sz w:val="18"/>
          <w:szCs w:val="18"/>
        </w:rPr>
        <w:t xml:space="preserve">A complete answer connects all five. Most fall apart between decision and action — that gap is where governance is actually missing.</w:t>
      </w:r>
    </w:p>
    <w:p>
      <w:pPr>
        <w:spacing w:after="80" w:before="180"/>
      </w:pPr>
      <w:r>
        <w:rPr>
          <w:rFonts w:ascii="Calibri" w:cs="Calibri" w:eastAsia="Calibri" w:hAnsi="Calibri"/>
          <w:b/>
          <w:bCs/>
          <w:i w:val="false"/>
          <w:iCs w:val="false"/>
          <w:color w:val="EE3465"/>
          <w:sz w:val="16"/>
          <w:szCs w:val="16"/>
        </w:rPr>
        <w:t xml:space="preserve">FOLLOW-UP PROBES — ASK THESE VERBATIM</w:t>
      </w:r>
    </w:p>
    <w:p>
      <w:pPr>
        <w:pStyle w:val="ListParagraph"/>
        <w:numPr>
          <w:ilvl w:val="0"/>
          <w:numId w:val="2"/>
        </w:numPr>
        <w:spacing w:after="90" w:line="264"/>
      </w:pPr>
      <w:r>
        <w:rPr>
          <w:rFonts w:ascii="Calibri" w:cs="Calibri" w:eastAsia="Calibri" w:hAnsi="Calibri"/>
          <w:b w:val="false"/>
          <w:bCs w:val="false"/>
          <w:i w:val="false"/>
          <w:iCs w:val="false"/>
          <w:color w:val="4A5068"/>
          <w:sz w:val="20"/>
          <w:szCs w:val="20"/>
        </w:rPr>
        <w:t xml:space="preserve">What was the signal, and on which day of the flight did you detect it?</w:t>
      </w:r>
    </w:p>
    <w:p>
      <w:pPr>
        <w:pStyle w:val="ListParagraph"/>
        <w:numPr>
          <w:ilvl w:val="0"/>
          <w:numId w:val="2"/>
        </w:numPr>
        <w:spacing w:after="90" w:line="264"/>
      </w:pPr>
      <w:r>
        <w:rPr>
          <w:rFonts w:ascii="Calibri" w:cs="Calibri" w:eastAsia="Calibri" w:hAnsi="Calibri"/>
          <w:b w:val="false"/>
          <w:bCs w:val="false"/>
          <w:i w:val="false"/>
          <w:iCs w:val="false"/>
          <w:color w:val="4A5068"/>
          <w:sz w:val="20"/>
          <w:szCs w:val="20"/>
        </w:rPr>
        <w:t xml:space="preserve">What threshold or benchmark told you it was signal rather than noise?</w:t>
      </w:r>
    </w:p>
    <w:p>
      <w:pPr>
        <w:pStyle w:val="ListParagraph"/>
        <w:numPr>
          <w:ilvl w:val="0"/>
          <w:numId w:val="2"/>
        </w:numPr>
        <w:spacing w:after="90" w:line="264"/>
      </w:pPr>
      <w:r>
        <w:rPr>
          <w:rFonts w:ascii="Calibri" w:cs="Calibri" w:eastAsia="Calibri" w:hAnsi="Calibri"/>
          <w:b w:val="false"/>
          <w:bCs w:val="false"/>
          <w:i w:val="false"/>
          <w:iCs w:val="false"/>
          <w:color w:val="4A5068"/>
          <w:sz w:val="20"/>
          <w:szCs w:val="20"/>
        </w:rPr>
        <w:t xml:space="preserve">Who raised it, and who made the call?</w:t>
      </w:r>
    </w:p>
    <w:p>
      <w:pPr>
        <w:pStyle w:val="ListParagraph"/>
        <w:numPr>
          <w:ilvl w:val="0"/>
          <w:numId w:val="2"/>
        </w:numPr>
        <w:spacing w:after="90" w:line="264"/>
      </w:pPr>
      <w:r>
        <w:rPr>
          <w:rFonts w:ascii="Calibri" w:cs="Calibri" w:eastAsia="Calibri" w:hAnsi="Calibri"/>
          <w:b w:val="false"/>
          <w:bCs w:val="false"/>
          <w:i w:val="false"/>
          <w:iCs w:val="false"/>
          <w:color w:val="4A5068"/>
          <w:sz w:val="20"/>
          <w:szCs w:val="20"/>
        </w:rPr>
        <w:t xml:space="preserve">How much budget was still unspent at the point of the decision?</w:t>
      </w:r>
    </w:p>
    <w:p>
      <w:pPr>
        <w:pStyle w:val="ListParagraph"/>
        <w:numPr>
          <w:ilvl w:val="0"/>
          <w:numId w:val="2"/>
        </w:numPr>
        <w:spacing w:after="90" w:line="264"/>
      </w:pPr>
      <w:r>
        <w:rPr>
          <w:rFonts w:ascii="Calibri" w:cs="Calibri" w:eastAsia="Calibri" w:hAnsi="Calibri"/>
          <w:b w:val="false"/>
          <w:bCs w:val="false"/>
          <w:i w:val="false"/>
          <w:iCs w:val="false"/>
          <w:color w:val="4A5068"/>
          <w:sz w:val="20"/>
          <w:szCs w:val="20"/>
        </w:rPr>
        <w:t xml:space="preserve">What did you change, and what did you give up by changing it?</w:t>
      </w:r>
    </w:p>
    <w:p>
      <w:pPr>
        <w:pStyle w:val="ListParagraph"/>
        <w:numPr>
          <w:ilvl w:val="0"/>
          <w:numId w:val="2"/>
        </w:numPr>
        <w:spacing w:after="90" w:line="264"/>
      </w:pPr>
      <w:r>
        <w:rPr>
          <w:rFonts w:ascii="Calibri" w:cs="Calibri" w:eastAsia="Calibri" w:hAnsi="Calibri"/>
          <w:b w:val="false"/>
          <w:bCs w:val="false"/>
          <w:i w:val="false"/>
          <w:iCs w:val="false"/>
          <w:color w:val="4A5068"/>
          <w:sz w:val="20"/>
          <w:szCs w:val="20"/>
        </w:rPr>
        <w:t xml:space="preserve">What would you have needed to see to make the opposite decision?</w:t>
      </w:r>
    </w:p>
    <w:p>
      <w:r>
        <w:br w:type="page"/>
      </w:r>
    </w:p>
    <w:p>
      <w:pPr>
        <w:spacing w:after="60"/>
      </w:pPr>
      <w:r>
        <w:rPr>
          <w:rFonts w:ascii="Calibri" w:cs="Calibri" w:eastAsia="Calibri" w:hAnsi="Calibri"/>
          <w:b/>
          <w:bCs/>
          <w:i w:val="false"/>
          <w:iCs w:val="false"/>
          <w:color w:val="EE3465"/>
          <w:sz w:val="16"/>
          <w:szCs w:val="16"/>
        </w:rPr>
        <w:t xml:space="preserve">QUESTION 4</w:t>
      </w:r>
      <w:r>
        <w:rPr>
          <w:rFonts w:ascii="Calibri" w:cs="Calibri" w:eastAsia="Calibri" w:hAnsi="Calibri"/>
          <w:b/>
          <w:bCs/>
          <w:i w:val="false"/>
          <w:iCs w:val="false"/>
          <w:color w:val="F9C9D6"/>
          <w:sz w:val="16"/>
          <w:szCs w:val="16"/>
        </w:rPr>
        <w:t xml:space="preserve">  ·  </w:t>
      </w:r>
      <w:r>
        <w:rPr>
          <w:rFonts w:ascii="Calibri" w:cs="Calibri" w:eastAsia="Calibri" w:hAnsi="Calibri"/>
          <w:b/>
          <w:bCs/>
          <w:i w:val="false"/>
          <w:iCs w:val="false"/>
          <w:color w:val="111C3F"/>
          <w:sz w:val="16"/>
          <w:szCs w:val="16"/>
        </w:rPr>
        <w:t xml:space="preserve">OPTIMISATION VERSUS REPORTING  ·  ASSESSING THE ANSWER</w:t>
      </w:r>
    </w:p>
    <w:p>
      <w:pPr>
        <w:pBdr>
          <w:bottom w:val="single" w:color="F9C9D6" w:sz="6"/>
        </w:pBdr>
        <w:spacing w:after="220"/>
      </w:pPr>
      <w:r>
        <w:rPr>
          <w:rFonts w:ascii="Calibri" w:cs="Calibri" w:eastAsia="Calibri" w:hAnsi="Calibri"/>
          <w:b w:val="false"/>
          <w:bCs w:val="false"/>
          <w:i w:val="false"/>
          <w:iCs w:val="false"/>
          <w:color w:val="4A5068"/>
          <w:sz w:val="2"/>
          <w:szCs w:val="2"/>
        </w:rPr>
        <w:t xml:space="preserve"/>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4513"/>
        <w:gridCol w:w="4513"/>
      </w:tblGrid>
      <w:tr>
        <w:tc>
          <w:tcPr>
            <w:tcW w:type="dxa" w:w="4513"/>
            <w:shd w:fill="EAF5F0" w:color="auto" w:val="clear"/>
            <w:tcMar>
              <w:top w:type="dxa" w:w="140"/>
              <w:left w:type="dxa" w:w="180"/>
              <w:bottom w:type="dxa" w:w="140"/>
              <w:right w:type="dxa" w:w="180"/>
            </w:tcMar>
          </w:tcPr>
          <w:p>
            <w:pPr>
              <w:spacing w:after="100"/>
            </w:pPr>
            <w:r>
              <w:rPr>
                <w:rFonts w:ascii="Calibri" w:cs="Calibri" w:eastAsia="Calibri" w:hAnsi="Calibri"/>
                <w:b/>
                <w:bCs/>
                <w:i w:val="false"/>
                <w:iCs w:val="false"/>
                <w:color w:val="1E7A54"/>
                <w:sz w:val="17"/>
                <w:szCs w:val="17"/>
              </w:rPr>
              <w:t xml:space="preserve">Strong answer sounds like</w:t>
            </w:r>
          </w:p>
          <w:p>
            <w:pPr>
              <w:spacing w:after="80" w:line="250"/>
              <w:ind w:left="170" w:hanging="170"/>
            </w:pPr>
            <w:r>
              <w:rPr>
                <w:rFonts w:ascii="Calibri" w:cs="Calibri" w:eastAsia="Calibri" w:hAnsi="Calibri"/>
                <w:b/>
                <w:bCs/>
                <w:i w:val="false"/>
                <w:iCs w:val="false"/>
                <w:color w:val="1E7A54"/>
                <w:sz w:val="20"/>
                <w:szCs w:val="20"/>
              </w:rPr>
              <w:t xml:space="preserve">—   </w:t>
            </w:r>
            <w:r>
              <w:rPr>
                <w:rFonts w:ascii="Calibri" w:cs="Calibri" w:eastAsia="Calibri" w:hAnsi="Calibri"/>
                <w:b w:val="false"/>
                <w:bCs w:val="false"/>
                <w:i w:val="false"/>
                <w:iCs w:val="false"/>
                <w:color w:val="4A5068"/>
                <w:sz w:val="19"/>
                <w:szCs w:val="19"/>
              </w:rPr>
              <w:t xml:space="preserve">Specific: names the metric, the day, and the magnitude of the shift.</w:t>
            </w:r>
          </w:p>
          <w:p>
            <w:pPr>
              <w:spacing w:after="80" w:line="250"/>
              <w:ind w:left="170" w:hanging="170"/>
            </w:pPr>
            <w:r>
              <w:rPr>
                <w:rFonts w:ascii="Calibri" w:cs="Calibri" w:eastAsia="Calibri" w:hAnsi="Calibri"/>
                <w:b/>
                <w:bCs/>
                <w:i w:val="false"/>
                <w:iCs w:val="false"/>
                <w:color w:val="1E7A54"/>
                <w:sz w:val="20"/>
                <w:szCs w:val="20"/>
              </w:rPr>
              <w:t xml:space="preserve">—   </w:t>
            </w:r>
            <w:r>
              <w:rPr>
                <w:rFonts w:ascii="Calibri" w:cs="Calibri" w:eastAsia="Calibri" w:hAnsi="Calibri"/>
                <w:b w:val="false"/>
                <w:bCs w:val="false"/>
                <w:i w:val="false"/>
                <w:iCs w:val="false"/>
                <w:color w:val="4A5068"/>
                <w:sz w:val="19"/>
                <w:szCs w:val="19"/>
              </w:rPr>
              <w:t xml:space="preserve">Quantifies the outcome and is candid about the trade-off accepted.</w:t>
            </w:r>
          </w:p>
          <w:p>
            <w:pPr>
              <w:spacing w:after="80" w:line="250"/>
              <w:ind w:left="170" w:hanging="170"/>
            </w:pPr>
            <w:r>
              <w:rPr>
                <w:rFonts w:ascii="Calibri" w:cs="Calibri" w:eastAsia="Calibri" w:hAnsi="Calibri"/>
                <w:b/>
                <w:bCs/>
                <w:i w:val="false"/>
                <w:iCs w:val="false"/>
                <w:color w:val="1E7A54"/>
                <w:sz w:val="20"/>
                <w:szCs w:val="20"/>
              </w:rPr>
              <w:t xml:space="preserve">—   </w:t>
            </w:r>
            <w:r>
              <w:rPr>
                <w:rFonts w:ascii="Calibri" w:cs="Calibri" w:eastAsia="Calibri" w:hAnsi="Calibri"/>
                <w:b w:val="false"/>
                <w:bCs w:val="false"/>
                <w:i w:val="false"/>
                <w:iCs w:val="false"/>
                <w:color w:val="4A5068"/>
                <w:sz w:val="19"/>
                <w:szCs w:val="19"/>
              </w:rPr>
              <w:t xml:space="preserve">Can describe a change that did not work, and what it taught them.</w:t>
            </w:r>
          </w:p>
          <w:p>
            <w:pPr>
              <w:spacing w:after="80" w:line="250"/>
              <w:ind w:left="170" w:hanging="170"/>
            </w:pPr>
            <w:r>
              <w:rPr>
                <w:rFonts w:ascii="Calibri" w:cs="Calibri" w:eastAsia="Calibri" w:hAnsi="Calibri"/>
                <w:b/>
                <w:bCs/>
                <w:i w:val="false"/>
                <w:iCs w:val="false"/>
                <w:color w:val="1E7A54"/>
                <w:sz w:val="20"/>
                <w:szCs w:val="20"/>
              </w:rPr>
              <w:t xml:space="preserve">—   </w:t>
            </w:r>
            <w:r>
              <w:rPr>
                <w:rFonts w:ascii="Calibri" w:cs="Calibri" w:eastAsia="Calibri" w:hAnsi="Calibri"/>
                <w:b w:val="false"/>
                <w:bCs w:val="false"/>
                <w:i w:val="false"/>
                <w:iCs w:val="false"/>
                <w:color w:val="4A5068"/>
                <w:sz w:val="19"/>
                <w:szCs w:val="19"/>
              </w:rPr>
              <w:t xml:space="preserve">Clear that the decision was mid-flight, not retrospective.</w:t>
            </w:r>
          </w:p>
          <w:p>
            <w:pPr>
              <w:spacing w:after="80" w:line="250"/>
              <w:ind w:left="170" w:hanging="170"/>
            </w:pPr>
            <w:r>
              <w:rPr>
                <w:rFonts w:ascii="Calibri" w:cs="Calibri" w:eastAsia="Calibri" w:hAnsi="Calibri"/>
                <w:b/>
                <w:bCs/>
                <w:i w:val="false"/>
                <w:iCs w:val="false"/>
                <w:color w:val="1E7A54"/>
                <w:sz w:val="20"/>
                <w:szCs w:val="20"/>
              </w:rPr>
              <w:t xml:space="preserve">—   </w:t>
            </w:r>
            <w:r>
              <w:rPr>
                <w:rFonts w:ascii="Calibri" w:cs="Calibri" w:eastAsia="Calibri" w:hAnsi="Calibri"/>
                <w:b w:val="false"/>
                <w:bCs w:val="false"/>
                <w:i w:val="false"/>
                <w:iCs w:val="false"/>
                <w:color w:val="4A5068"/>
                <w:sz w:val="19"/>
                <w:szCs w:val="19"/>
              </w:rPr>
              <w:t xml:space="preserve">Thresholds existed in advance rather than being rationalised after.</w:t>
            </w:r>
          </w:p>
        </w:tc>
        <w:tc>
          <w:tcPr>
            <w:tcW w:type="dxa" w:w="4513"/>
            <w:shd w:fill="FDECF1" w:color="auto" w:val="clear"/>
            <w:tcMar>
              <w:top w:type="dxa" w:w="140"/>
              <w:left w:type="dxa" w:w="180"/>
              <w:bottom w:type="dxa" w:w="140"/>
              <w:right w:type="dxa" w:w="180"/>
            </w:tcMar>
          </w:tcPr>
          <w:p>
            <w:pPr>
              <w:spacing w:after="100"/>
            </w:pPr>
            <w:r>
              <w:rPr>
                <w:rFonts w:ascii="Calibri" w:cs="Calibri" w:eastAsia="Calibri" w:hAnsi="Calibri"/>
                <w:b/>
                <w:bCs/>
                <w:i w:val="false"/>
                <w:iCs w:val="false"/>
                <w:color w:val="EE3465"/>
                <w:sz w:val="17"/>
                <w:szCs w:val="17"/>
              </w:rPr>
              <w:t xml:space="preserve">Treat as a red flag</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4A5068"/>
                <w:sz w:val="19"/>
                <w:szCs w:val="19"/>
              </w:rPr>
              <w:t xml:space="preserve">Every example is framed as an unqualified success.</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4A5068"/>
                <w:sz w:val="19"/>
                <w:szCs w:val="19"/>
              </w:rPr>
              <w:t xml:space="preserve">"We optimised towards the top performers" with no numbers attached.</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4A5068"/>
                <w:sz w:val="19"/>
                <w:szCs w:val="19"/>
              </w:rPr>
              <w:t xml:space="preserve">All learning is described as applying to the next campaign.</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4A5068"/>
                <w:sz w:val="19"/>
                <w:szCs w:val="19"/>
              </w:rPr>
              <w:t xml:space="preserve">No dates, no magnitudes, no named metric.</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4A5068"/>
                <w:sz w:val="19"/>
                <w:szCs w:val="19"/>
              </w:rPr>
              <w:t xml:space="preserve">Cannot say what would have changed their mind.</w:t>
            </w:r>
          </w:p>
        </w:tc>
      </w:tr>
    </w:tbl>
    <w:p>
      <w:pPr>
        <w:spacing w:after="0" w:before="180"/>
      </w:pPr>
      <w:r>
        <w:rPr>
          <w:rFonts w:ascii="Calibri" w:cs="Calibri" w:eastAsia="Calibri" w:hAnsi="Calibri"/>
          <w:b w:val="false"/>
          <w:bCs w:val="false"/>
          <w:i w:val="false"/>
          <w:iCs w:val="false"/>
          <w:color w:val="4A5068"/>
          <w:sz w:val="2"/>
          <w:szCs w:val="2"/>
        </w:rPr>
        <w:t xml:space="preserve"/>
      </w:r>
    </w:p>
    <w:tbl>
      <w:tblPr>
        <w:tblW w:type="dxa" w:w="9026"/>
        <w:tblBorders>
          <w:top w:val="single" w:color="F9C9D6" w:sz="2"/>
          <w:left w:val="single" w:color="EE3465" w:sz="12"/>
          <w:bottom w:val="single" w:color="F9C9D6" w:sz="2"/>
          <w:right w:val="single" w:color="F9C9D6" w:sz="2"/>
          <w:insideH w:val="none" w:color="FFFFFF" w:sz="0"/>
          <w:insideV w:val="none" w:color="FFFFFF" w:sz="0"/>
        </w:tblBorders>
      </w:tblPr>
      <w:tblGrid>
        <w:gridCol w:w="9026"/>
      </w:tblGrid>
      <w:tr>
        <w:tc>
          <w:tcPr>
            <w:tcW w:type="dxa" w:w="9026"/>
            <w:shd w:fill="FDF9F6" w:color="auto" w:val="clear"/>
            <w:tcMar>
              <w:top w:type="dxa" w:w="150"/>
              <w:left w:type="dxa" w:w="220"/>
              <w:bottom w:type="dxa" w:w="150"/>
              <w:right w:type="dxa" w:w="200"/>
            </w:tcMar>
          </w:tcPr>
          <w:p>
            <w:pPr>
              <w:spacing w:after="100"/>
            </w:pPr>
            <w:r>
              <w:rPr>
                <w:rFonts w:ascii="Calibri" w:cs="Calibri" w:eastAsia="Calibri" w:hAnsi="Calibri"/>
                <w:b/>
                <w:bCs/>
                <w:i w:val="false"/>
                <w:iCs w:val="false"/>
                <w:color w:val="EE3465"/>
                <w:sz w:val="16"/>
                <w:szCs w:val="16"/>
              </w:rPr>
              <w:t xml:space="preserve">WORKING BENCHMARK — WHAT TO REQUIRE</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111C3F"/>
                <w:sz w:val="19"/>
                <w:szCs w:val="19"/>
              </w:rPr>
              <w:t xml:space="preserve">Ask for two examples: one where the intervention worked and one where it did not. Refusal to supply the second is itself the answer.</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111C3F"/>
                <w:sz w:val="19"/>
                <w:szCs w:val="19"/>
              </w:rPr>
              <w:t xml:space="preserve">Require that the change happened while a meaningful share of budget was still unspent — roughly a third or more. Later than that and it is reporting, not optimisation.</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111C3F"/>
                <w:sz w:val="19"/>
                <w:szCs w:val="19"/>
              </w:rPr>
              <w:t xml:space="preserve">Detection to action inside one week for performance signals.</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111C3F"/>
                <w:sz w:val="19"/>
                <w:szCs w:val="19"/>
              </w:rPr>
              <w:t xml:space="preserve">Ask them to walk the full chain without prompting: signal, insight, decision, action, outcome. Gaps show where the process is actually weak.</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111C3F"/>
                <w:sz w:val="19"/>
                <w:szCs w:val="19"/>
              </w:rPr>
              <w:t xml:space="preserve">Ask what would have triggered the opposite call. Real thresholds can be stated; retrofitted ones cannot.</w:t>
            </w:r>
          </w:p>
        </w:tc>
      </w:tr>
    </w:tbl>
    <w:p>
      <w:pPr>
        <w:spacing w:after="0" w:before="200"/>
      </w:pPr>
      <w:r>
        <w:rPr>
          <w:rFonts w:ascii="Calibri" w:cs="Calibri" w:eastAsia="Calibri" w:hAnsi="Calibri"/>
          <w:b w:val="false"/>
          <w:bCs w:val="false"/>
          <w:i w:val="false"/>
          <w:iCs w:val="false"/>
          <w:color w:val="4A5068"/>
          <w:sz w:val="2"/>
          <w:szCs w:val="2"/>
        </w:rPr>
        <w:t xml:space="preserve"/>
      </w:r>
    </w:p>
    <w:tbl>
      <w:tblPr>
        <w:tblW w:type="dxa" w:w="9026"/>
        <w:tblBorders>
          <w:top w:val="single" w:color="DFE1E8" w:sz="4"/>
          <w:left w:val="single" w:color="DFE1E8" w:sz="4"/>
          <w:bottom w:val="single" w:color="DFE1E8" w:sz="4"/>
          <w:right w:val="single" w:color="DFE1E8" w:sz="4"/>
          <w:insideH w:val="single" w:color="DFE1E8" w:sz="4"/>
          <w:insideV w:val="single" w:color="DFE1E8" w:sz="4"/>
        </w:tblBorders>
      </w:tblPr>
      <w:tblGrid>
        <w:gridCol w:w="1500"/>
        <w:gridCol w:w="7526"/>
      </w:tblGrid>
      <w:tr>
        <w:tc>
          <w:tcPr>
            <w:tcW w:type="dxa" w:w="1500"/>
            <w:shd w:fill="111C3F" w:color="auto" w:val="clear"/>
            <w:tcMar>
              <w:top w:type="dxa" w:w="80"/>
              <w:left w:type="dxa" w:w="140"/>
              <w:bottom w:type="dxa" w:w="80"/>
              <w:right w:type="dxa" w:w="140"/>
            </w:tcMar>
          </w:tcPr>
          <w:p>
            <w:pPr>
              <w:spacing w:after="0"/>
            </w:pPr>
            <w:r>
              <w:rPr>
                <w:rFonts w:ascii="Calibri" w:cs="Calibri" w:eastAsia="Calibri" w:hAnsi="Calibri"/>
                <w:b/>
                <w:bCs/>
                <w:i w:val="false"/>
                <w:iCs w:val="false"/>
                <w:color w:val="FFFFFF"/>
                <w:sz w:val="15"/>
                <w:szCs w:val="15"/>
              </w:rPr>
              <w:t xml:space="preserve">SCORE  0–3</w:t>
            </w:r>
          </w:p>
        </w:tc>
        <w:tc>
          <w:tcPr>
            <w:tcW w:type="dxa" w:w="7526"/>
            <w:shd w:fill="111C3F" w:color="auto" w:val="clear"/>
            <w:tcMar>
              <w:top w:type="dxa" w:w="80"/>
              <w:left w:type="dxa" w:w="140"/>
              <w:bottom w:type="dxa" w:w="80"/>
              <w:right w:type="dxa" w:w="140"/>
            </w:tcMar>
          </w:tcPr>
          <w:p>
            <w:pPr>
              <w:spacing w:after="0"/>
            </w:pPr>
            <w:r>
              <w:rPr>
                <w:rFonts w:ascii="Calibri" w:cs="Calibri" w:eastAsia="Calibri" w:hAnsi="Calibri"/>
                <w:b/>
                <w:bCs/>
                <w:i w:val="false"/>
                <w:iCs w:val="false"/>
                <w:color w:val="FFFFFF"/>
                <w:sz w:val="15"/>
                <w:szCs w:val="15"/>
              </w:rPr>
              <w:t xml:space="preserve">EVIDENCE THEY GAVE — QUOTE SPECIFICS, NOT IMPRESSIONS</w:t>
            </w:r>
          </w:p>
        </w:tc>
      </w:tr>
      <w:tr>
        <w:trPr>
          <w:trHeight w:val="1000" w:hRule="atLeast"/>
        </w:trPr>
        <w:tc>
          <w:tcPr>
            <w:tcW w:type="dxa" w:w="1500"/>
            <w:tcMar>
              <w:top w:type="dxa" w:w="120"/>
              <w:left w:type="dxa" w:w="140"/>
              <w:bottom w:type="dxa" w:w="120"/>
              <w:right w:type="dxa" w:w="140"/>
            </w:tcMar>
            <w:vAlign w:val="center"/>
          </w:tcPr>
          <w:p>
            <w:pPr>
              <w:spacing w:after="0"/>
              <w:jc w:val="center"/>
            </w:pPr>
            <w:r>
              <w:rPr>
                <w:rFonts w:ascii="Calibri" w:cs="Calibri" w:eastAsia="Calibri" w:hAnsi="Calibri"/>
                <w:b w:val="false"/>
                <w:bCs w:val="false"/>
                <w:i w:val="false"/>
                <w:iCs w:val="false"/>
                <w:color w:val="B9BDCB"/>
                <w:sz w:val="24"/>
                <w:szCs w:val="24"/>
              </w:rPr>
              <w:t xml:space="preserve">_______</w:t>
            </w:r>
          </w:p>
        </w:tc>
        <w:tc>
          <w:tcPr>
            <w:tcW w:type="dxa" w:w="7526"/>
            <w:tcMar>
              <w:top w:type="dxa" w:w="120"/>
              <w:left w:type="dxa" w:w="140"/>
              <w:bottom w:type="dxa" w:w="120"/>
              <w:right w:type="dxa" w:w="140"/>
            </w:tcMar>
          </w:tcPr>
          <w:p>
            <w:pPr>
              <w:spacing w:after="0"/>
            </w:pPr>
            <w:r>
              <w:rPr>
                <w:rFonts w:ascii="Calibri" w:cs="Calibri" w:eastAsia="Calibri" w:hAnsi="Calibri"/>
                <w:b w:val="false"/>
                <w:bCs w:val="false"/>
                <w:i w:val="false"/>
                <w:iCs w:val="false"/>
                <w:color w:val="4A5068"/>
                <w:sz w:val="20"/>
                <w:szCs w:val="20"/>
              </w:rPr>
              <w:t xml:space="preserve"/>
            </w:r>
          </w:p>
        </w:tc>
      </w:tr>
    </w:tbl>
    <w:p>
      <w:r>
        <w:br w:type="page"/>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70"/>
        <w:gridCol w:w="8956"/>
      </w:tblGrid>
      <w:tr>
        <w:tc>
          <w:tcPr>
            <w:tcW w:type="dxa" w:w="70"/>
            <w:shd w:fill="EE3465" w:color="auto" w:val="clear"/>
            <w:tcMar>
              <w:top w:type="dxa" w:w="0"/>
              <w:left w:type="dxa" w:w="0"/>
              <w:bottom w:type="dxa" w:w="0"/>
              <w:right w:type="dxa" w:w="0"/>
            </w:tcMar>
          </w:tcPr>
          <w:p>
            <w:r>
              <w:rPr>
                <w:rFonts w:ascii="Calibri" w:cs="Calibri" w:eastAsia="Calibri" w:hAnsi="Calibri"/>
                <w:b w:val="false"/>
                <w:bCs w:val="false"/>
                <w:i w:val="false"/>
                <w:iCs w:val="false"/>
                <w:color w:val="4A5068"/>
                <w:sz w:val="2"/>
                <w:szCs w:val="2"/>
              </w:rPr>
              <w:t xml:space="preserve"/>
            </w:r>
          </w:p>
        </w:tc>
        <w:tc>
          <w:tcPr>
            <w:tcW w:type="dxa" w:w="8956"/>
            <w:tcMar>
              <w:top w:type="dxa" w:w="40"/>
              <w:left w:type="dxa" w:w="200"/>
              <w:bottom w:type="dxa" w:w="40"/>
            </w:tcMar>
            <w:vAlign w:val="center"/>
          </w:tcPr>
          <w:p>
            <w:pPr>
              <w:spacing w:after="0" w:line="260"/>
            </w:pPr>
            <w:r>
              <w:rPr>
                <w:rFonts w:ascii="Calibri" w:cs="Calibri" w:eastAsia="Calibri" w:hAnsi="Calibri"/>
                <w:b/>
                <w:bCs/>
                <w:i w:val="false"/>
                <w:iCs w:val="false"/>
                <w:color w:val="EE3465"/>
                <w:sz w:val="17"/>
                <w:szCs w:val="17"/>
              </w:rPr>
              <w:t xml:space="preserve">Question 5</w:t>
            </w:r>
          </w:p>
          <w:p>
            <w:pPr>
              <w:spacing w:after="0" w:before="20" w:line="300"/>
            </w:pPr>
            <w:r>
              <w:rPr>
                <w:rFonts w:ascii="Calibri" w:cs="Calibri" w:eastAsia="Calibri" w:hAnsi="Calibri"/>
                <w:b/>
                <w:bCs/>
                <w:i w:val="false"/>
                <w:iCs w:val="false"/>
                <w:color w:val="111C3F"/>
                <w:sz w:val="26"/>
                <w:szCs w:val="26"/>
              </w:rPr>
              <w:t xml:space="preserve">What Happens Between Formal Reports?</w:t>
            </w:r>
          </w:p>
        </w:tc>
      </w:tr>
    </w:tbl>
    <w:p>
      <w:pPr>
        <w:spacing w:after="160" w:before="100"/>
      </w:pPr>
      <w:r>
        <w:rPr>
          <w:rFonts w:ascii="Calibri" w:cs="Calibri" w:eastAsia="Calibri" w:hAnsi="Calibri"/>
          <w:b/>
          <w:bCs/>
          <w:i w:val="false"/>
          <w:iCs w:val="false"/>
          <w:color w:val="EE3465"/>
          <w:sz w:val="16"/>
          <w:szCs w:val="16"/>
        </w:rPr>
        <w:t xml:space="preserve">WHAT IT TESTS:  </w:t>
      </w:r>
      <w:r>
        <w:rPr>
          <w:rFonts w:ascii="Calibri" w:cs="Calibri" w:eastAsia="Calibri" w:hAnsi="Calibri"/>
          <w:b/>
          <w:bCs/>
          <w:i w:val="false"/>
          <w:iCs w:val="false"/>
          <w:color w:val="111C3F"/>
          <w:sz w:val="16"/>
          <w:szCs w:val="16"/>
        </w:rPr>
        <w:t xml:space="preserve">MONITORING CADENCE</w:t>
      </w:r>
    </w:p>
    <w:p>
      <w:pPr>
        <w:spacing w:after="180" w:before="0" w:line="264"/>
      </w:pPr>
      <w:r>
        <w:rPr>
          <w:rFonts w:ascii="Calibri" w:cs="Calibri" w:eastAsia="Calibri" w:hAnsi="Calibri"/>
          <w:b w:val="false"/>
          <w:bCs w:val="false"/>
          <w:i w:val="false"/>
          <w:iCs w:val="false"/>
          <w:color w:val="4A5068"/>
          <w:sz w:val="20"/>
          <w:szCs w:val="20"/>
        </w:rPr>
        <w:t xml:space="preserve">Structured reporting gives leadership a consistent view, but a monthly report is far too slow to govern a three-week flight. Most of the value in influencer measurement sits in the first 48 hours after a piece of content publishes. The real question is what the team watches daily, and what is allowed to trigger action before the next scheduled report.</w:t>
      </w:r>
    </w:p>
    <w:p>
      <w:pPr>
        <w:spacing w:after="80" w:before="180"/>
      </w:pPr>
      <w:r>
        <w:rPr>
          <w:rFonts w:ascii="Calibri" w:cs="Calibri" w:eastAsia="Calibri" w:hAnsi="Calibri"/>
          <w:b/>
          <w:bCs/>
          <w:i w:val="false"/>
          <w:iCs w:val="false"/>
          <w:color w:val="EE3465"/>
          <w:sz w:val="16"/>
          <w:szCs w:val="16"/>
        </w:rPr>
        <w:t xml:space="preserve">FOLLOW-UP PROBES — ASK THESE VERBATIM</w:t>
      </w:r>
    </w:p>
    <w:p>
      <w:pPr>
        <w:pStyle w:val="ListParagraph"/>
        <w:numPr>
          <w:ilvl w:val="0"/>
          <w:numId w:val="2"/>
        </w:numPr>
        <w:spacing w:after="90" w:line="264"/>
      </w:pPr>
      <w:r>
        <w:rPr>
          <w:rFonts w:ascii="Calibri" w:cs="Calibri" w:eastAsia="Calibri" w:hAnsi="Calibri"/>
          <w:b w:val="false"/>
          <w:bCs w:val="false"/>
          <w:i w:val="false"/>
          <w:iCs w:val="false"/>
          <w:color w:val="4A5068"/>
          <w:sz w:val="20"/>
          <w:szCs w:val="20"/>
        </w:rPr>
        <w:t xml:space="preserve">Which metrics are reviewed daily, which weekly, and by whom by name?</w:t>
      </w:r>
    </w:p>
    <w:p>
      <w:pPr>
        <w:pStyle w:val="ListParagraph"/>
        <w:numPr>
          <w:ilvl w:val="0"/>
          <w:numId w:val="2"/>
        </w:numPr>
        <w:spacing w:after="90" w:line="264"/>
      </w:pPr>
      <w:r>
        <w:rPr>
          <w:rFonts w:ascii="Calibri" w:cs="Calibri" w:eastAsia="Calibri" w:hAnsi="Calibri"/>
          <w:b w:val="false"/>
          <w:bCs w:val="false"/>
          <w:i w:val="false"/>
          <w:iCs w:val="false"/>
          <w:color w:val="4A5068"/>
          <w:sz w:val="20"/>
          <w:szCs w:val="20"/>
        </w:rPr>
        <w:t xml:space="preserve">What are the specific numeric thresholds that trigger a review?</w:t>
      </w:r>
    </w:p>
    <w:p>
      <w:pPr>
        <w:pStyle w:val="ListParagraph"/>
        <w:numPr>
          <w:ilvl w:val="0"/>
          <w:numId w:val="2"/>
        </w:numPr>
        <w:spacing w:after="90" w:line="264"/>
      </w:pPr>
      <w:r>
        <w:rPr>
          <w:rFonts w:ascii="Calibri" w:cs="Calibri" w:eastAsia="Calibri" w:hAnsi="Calibri"/>
          <w:b w:val="false"/>
          <w:bCs w:val="false"/>
          <w:i w:val="false"/>
          <w:iCs w:val="false"/>
          <w:color w:val="4A5068"/>
          <w:sz w:val="20"/>
          <w:szCs w:val="20"/>
        </w:rPr>
        <w:t xml:space="preserve">Is there automated alerting, or is this manual review?</w:t>
      </w:r>
    </w:p>
    <w:p>
      <w:pPr>
        <w:pStyle w:val="ListParagraph"/>
        <w:numPr>
          <w:ilvl w:val="0"/>
          <w:numId w:val="2"/>
        </w:numPr>
        <w:spacing w:after="90" w:line="264"/>
      </w:pPr>
      <w:r>
        <w:rPr>
          <w:rFonts w:ascii="Calibri" w:cs="Calibri" w:eastAsia="Calibri" w:hAnsi="Calibri"/>
          <w:b w:val="false"/>
          <w:bCs w:val="false"/>
          <w:i w:val="false"/>
          <w:iCs w:val="false"/>
          <w:color w:val="4A5068"/>
          <w:sz w:val="20"/>
          <w:szCs w:val="20"/>
        </w:rPr>
        <w:t xml:space="preserve">Do we get live dashboard access, and what is the data latency?</w:t>
      </w:r>
    </w:p>
    <w:p>
      <w:pPr>
        <w:pStyle w:val="ListParagraph"/>
        <w:numPr>
          <w:ilvl w:val="0"/>
          <w:numId w:val="2"/>
        </w:numPr>
        <w:spacing w:after="90" w:line="264"/>
      </w:pPr>
      <w:r>
        <w:rPr>
          <w:rFonts w:ascii="Calibri" w:cs="Calibri" w:eastAsia="Calibri" w:hAnsi="Calibri"/>
          <w:b w:val="false"/>
          <w:bCs w:val="false"/>
          <w:i w:val="false"/>
          <w:iCs w:val="false"/>
          <w:color w:val="4A5068"/>
          <w:sz w:val="20"/>
          <w:szCs w:val="20"/>
        </w:rPr>
        <w:t xml:space="preserve">What is the standard routine in the first 48 hours after a piece of content publishes?</w:t>
      </w:r>
    </w:p>
    <w:p>
      <w:pPr>
        <w:pStyle w:val="ListParagraph"/>
        <w:numPr>
          <w:ilvl w:val="0"/>
          <w:numId w:val="2"/>
        </w:numPr>
        <w:spacing w:after="90" w:line="264"/>
      </w:pPr>
      <w:r>
        <w:rPr>
          <w:rFonts w:ascii="Calibri" w:cs="Calibri" w:eastAsia="Calibri" w:hAnsi="Calibri"/>
          <w:b w:val="false"/>
          <w:bCs w:val="false"/>
          <w:i w:val="false"/>
          <w:iCs w:val="false"/>
          <w:color w:val="4A5068"/>
          <w:sz w:val="20"/>
          <w:szCs w:val="20"/>
        </w:rPr>
        <w:t xml:space="preserve">Who monitors comments, sentiment, and brand-safety signals — and how quickly do we hear about a problem?</w:t>
      </w:r>
    </w:p>
    <w:p>
      <w:r>
        <w:br w:type="page"/>
      </w:r>
    </w:p>
    <w:p>
      <w:pPr>
        <w:spacing w:after="60"/>
      </w:pPr>
      <w:r>
        <w:rPr>
          <w:rFonts w:ascii="Calibri" w:cs="Calibri" w:eastAsia="Calibri" w:hAnsi="Calibri"/>
          <w:b/>
          <w:bCs/>
          <w:i w:val="false"/>
          <w:iCs w:val="false"/>
          <w:color w:val="EE3465"/>
          <w:sz w:val="16"/>
          <w:szCs w:val="16"/>
        </w:rPr>
        <w:t xml:space="preserve">QUESTION 5</w:t>
      </w:r>
      <w:r>
        <w:rPr>
          <w:rFonts w:ascii="Calibri" w:cs="Calibri" w:eastAsia="Calibri" w:hAnsi="Calibri"/>
          <w:b/>
          <w:bCs/>
          <w:i w:val="false"/>
          <w:iCs w:val="false"/>
          <w:color w:val="F9C9D6"/>
          <w:sz w:val="16"/>
          <w:szCs w:val="16"/>
        </w:rPr>
        <w:t xml:space="preserve">  ·  </w:t>
      </w:r>
      <w:r>
        <w:rPr>
          <w:rFonts w:ascii="Calibri" w:cs="Calibri" w:eastAsia="Calibri" w:hAnsi="Calibri"/>
          <w:b/>
          <w:bCs/>
          <w:i w:val="false"/>
          <w:iCs w:val="false"/>
          <w:color w:val="111C3F"/>
          <w:sz w:val="16"/>
          <w:szCs w:val="16"/>
        </w:rPr>
        <w:t xml:space="preserve">MONITORING CADENCE  ·  ASSESSING THE ANSWER</w:t>
      </w:r>
    </w:p>
    <w:p>
      <w:pPr>
        <w:pBdr>
          <w:bottom w:val="single" w:color="F9C9D6" w:sz="6"/>
        </w:pBdr>
        <w:spacing w:after="220"/>
      </w:pPr>
      <w:r>
        <w:rPr>
          <w:rFonts w:ascii="Calibri" w:cs="Calibri" w:eastAsia="Calibri" w:hAnsi="Calibri"/>
          <w:b w:val="false"/>
          <w:bCs w:val="false"/>
          <w:i w:val="false"/>
          <w:iCs w:val="false"/>
          <w:color w:val="4A5068"/>
          <w:sz w:val="2"/>
          <w:szCs w:val="2"/>
        </w:rPr>
        <w:t xml:space="preserve"/>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4513"/>
        <w:gridCol w:w="4513"/>
      </w:tblGrid>
      <w:tr>
        <w:tc>
          <w:tcPr>
            <w:tcW w:type="dxa" w:w="4513"/>
            <w:shd w:fill="EAF5F0" w:color="auto" w:val="clear"/>
            <w:tcMar>
              <w:top w:type="dxa" w:w="140"/>
              <w:left w:type="dxa" w:w="180"/>
              <w:bottom w:type="dxa" w:w="140"/>
              <w:right w:type="dxa" w:w="180"/>
            </w:tcMar>
          </w:tcPr>
          <w:p>
            <w:pPr>
              <w:spacing w:after="100"/>
            </w:pPr>
            <w:r>
              <w:rPr>
                <w:rFonts w:ascii="Calibri" w:cs="Calibri" w:eastAsia="Calibri" w:hAnsi="Calibri"/>
                <w:b/>
                <w:bCs/>
                <w:i w:val="false"/>
                <w:iCs w:val="false"/>
                <w:color w:val="1E7A54"/>
                <w:sz w:val="17"/>
                <w:szCs w:val="17"/>
              </w:rPr>
              <w:t xml:space="preserve">Strong answer sounds like</w:t>
            </w:r>
          </w:p>
          <w:p>
            <w:pPr>
              <w:spacing w:after="80" w:line="250"/>
              <w:ind w:left="170" w:hanging="170"/>
            </w:pPr>
            <w:r>
              <w:rPr>
                <w:rFonts w:ascii="Calibri" w:cs="Calibri" w:eastAsia="Calibri" w:hAnsi="Calibri"/>
                <w:b/>
                <w:bCs/>
                <w:i w:val="false"/>
                <w:iCs w:val="false"/>
                <w:color w:val="1E7A54"/>
                <w:sz w:val="20"/>
                <w:szCs w:val="20"/>
              </w:rPr>
              <w:t xml:space="preserve">—   </w:t>
            </w:r>
            <w:r>
              <w:rPr>
                <w:rFonts w:ascii="Calibri" w:cs="Calibri" w:eastAsia="Calibri" w:hAnsi="Calibri"/>
                <w:b w:val="false"/>
                <w:bCs w:val="false"/>
                <w:i w:val="false"/>
                <w:iCs w:val="false"/>
                <w:color w:val="4A5068"/>
                <w:sz w:val="19"/>
                <w:szCs w:val="19"/>
              </w:rPr>
              <w:t xml:space="preserve">States numeric thresholds rather than "we keep an eye on it".</w:t>
            </w:r>
          </w:p>
          <w:p>
            <w:pPr>
              <w:spacing w:after="80" w:line="250"/>
              <w:ind w:left="170" w:hanging="170"/>
            </w:pPr>
            <w:r>
              <w:rPr>
                <w:rFonts w:ascii="Calibri" w:cs="Calibri" w:eastAsia="Calibri" w:hAnsi="Calibri"/>
                <w:b/>
                <w:bCs/>
                <w:i w:val="false"/>
                <w:iCs w:val="false"/>
                <w:color w:val="1E7A54"/>
                <w:sz w:val="20"/>
                <w:szCs w:val="20"/>
              </w:rPr>
              <w:t xml:space="preserve">—   </w:t>
            </w:r>
            <w:r>
              <w:rPr>
                <w:rFonts w:ascii="Calibri" w:cs="Calibri" w:eastAsia="Calibri" w:hAnsi="Calibri"/>
                <w:b w:val="false"/>
                <w:bCs w:val="false"/>
                <w:i w:val="false"/>
                <w:iCs w:val="false"/>
                <w:color w:val="4A5068"/>
                <w:sz w:val="19"/>
                <w:szCs w:val="19"/>
              </w:rPr>
              <w:t xml:space="preserve">Separates early indicators from lagging outcome metrics.</w:t>
            </w:r>
          </w:p>
          <w:p>
            <w:pPr>
              <w:spacing w:after="80" w:line="250"/>
              <w:ind w:left="170" w:hanging="170"/>
            </w:pPr>
            <w:r>
              <w:rPr>
                <w:rFonts w:ascii="Calibri" w:cs="Calibri" w:eastAsia="Calibri" w:hAnsi="Calibri"/>
                <w:b/>
                <w:bCs/>
                <w:i w:val="false"/>
                <w:iCs w:val="false"/>
                <w:color w:val="1E7A54"/>
                <w:sz w:val="20"/>
                <w:szCs w:val="20"/>
              </w:rPr>
              <w:t xml:space="preserve">—   </w:t>
            </w:r>
            <w:r>
              <w:rPr>
                <w:rFonts w:ascii="Calibri" w:cs="Calibri" w:eastAsia="Calibri" w:hAnsi="Calibri"/>
                <w:b w:val="false"/>
                <w:bCs w:val="false"/>
                <w:i w:val="false"/>
                <w:iCs w:val="false"/>
                <w:color w:val="4A5068"/>
                <w:sz w:val="19"/>
                <w:szCs w:val="19"/>
              </w:rPr>
              <w:t xml:space="preserve">Client-accessible dashboard with low data latency.</w:t>
            </w:r>
          </w:p>
          <w:p>
            <w:pPr>
              <w:spacing w:after="80" w:line="250"/>
              <w:ind w:left="170" w:hanging="170"/>
            </w:pPr>
            <w:r>
              <w:rPr>
                <w:rFonts w:ascii="Calibri" w:cs="Calibri" w:eastAsia="Calibri" w:hAnsi="Calibri"/>
                <w:b/>
                <w:bCs/>
                <w:i w:val="false"/>
                <w:iCs w:val="false"/>
                <w:color w:val="1E7A54"/>
                <w:sz w:val="20"/>
                <w:szCs w:val="20"/>
              </w:rPr>
              <w:t xml:space="preserve">—   </w:t>
            </w:r>
            <w:r>
              <w:rPr>
                <w:rFonts w:ascii="Calibri" w:cs="Calibri" w:eastAsia="Calibri" w:hAnsi="Calibri"/>
                <w:b w:val="false"/>
                <w:bCs w:val="false"/>
                <w:i w:val="false"/>
                <w:iCs w:val="false"/>
                <w:color w:val="4A5068"/>
                <w:sz w:val="19"/>
                <w:szCs w:val="19"/>
              </w:rPr>
              <w:t xml:space="preserve">A named owner per market and platform.</w:t>
            </w:r>
          </w:p>
          <w:p>
            <w:pPr>
              <w:spacing w:after="80" w:line="250"/>
              <w:ind w:left="170" w:hanging="170"/>
            </w:pPr>
            <w:r>
              <w:rPr>
                <w:rFonts w:ascii="Calibri" w:cs="Calibri" w:eastAsia="Calibri" w:hAnsi="Calibri"/>
                <w:b/>
                <w:bCs/>
                <w:i w:val="false"/>
                <w:iCs w:val="false"/>
                <w:color w:val="1E7A54"/>
                <w:sz w:val="20"/>
                <w:szCs w:val="20"/>
              </w:rPr>
              <w:t xml:space="preserve">—   </w:t>
            </w:r>
            <w:r>
              <w:rPr>
                <w:rFonts w:ascii="Calibri" w:cs="Calibri" w:eastAsia="Calibri" w:hAnsi="Calibri"/>
                <w:b w:val="false"/>
                <w:bCs w:val="false"/>
                <w:i w:val="false"/>
                <w:iCs w:val="false"/>
                <w:color w:val="4A5068"/>
                <w:sz w:val="19"/>
                <w:szCs w:val="19"/>
              </w:rPr>
              <w:t xml:space="preserve">Comment and sentiment monitoring is somebody's explicit job.</w:t>
            </w:r>
          </w:p>
        </w:tc>
        <w:tc>
          <w:tcPr>
            <w:tcW w:type="dxa" w:w="4513"/>
            <w:shd w:fill="FDECF1" w:color="auto" w:val="clear"/>
            <w:tcMar>
              <w:top w:type="dxa" w:w="140"/>
              <w:left w:type="dxa" w:w="180"/>
              <w:bottom w:type="dxa" w:w="140"/>
              <w:right w:type="dxa" w:w="180"/>
            </w:tcMar>
          </w:tcPr>
          <w:p>
            <w:pPr>
              <w:spacing w:after="100"/>
            </w:pPr>
            <w:r>
              <w:rPr>
                <w:rFonts w:ascii="Calibri" w:cs="Calibri" w:eastAsia="Calibri" w:hAnsi="Calibri"/>
                <w:b/>
                <w:bCs/>
                <w:i w:val="false"/>
                <w:iCs w:val="false"/>
                <w:color w:val="EE3465"/>
                <w:sz w:val="17"/>
                <w:szCs w:val="17"/>
              </w:rPr>
              <w:t xml:space="preserve">Treat as a red flag</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4A5068"/>
                <w:sz w:val="19"/>
                <w:szCs w:val="19"/>
              </w:rPr>
              <w:t xml:space="preserve">Monitoring and the monthly report are the same activity.</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4A5068"/>
                <w:sz w:val="19"/>
                <w:szCs w:val="19"/>
              </w:rPr>
              <w:t xml:space="preserve">No thresholds — escalation depends on somebody noticing.</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4A5068"/>
                <w:sz w:val="19"/>
                <w:szCs w:val="19"/>
              </w:rPr>
              <w:t xml:space="preserve">Dashboard access only at campaign end.</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4A5068"/>
                <w:sz w:val="19"/>
                <w:szCs w:val="19"/>
              </w:rPr>
              <w:t xml:space="preserve">Sentiment monitoring is nobody's named responsibility.</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4A5068"/>
                <w:sz w:val="19"/>
                <w:szCs w:val="19"/>
              </w:rPr>
              <w:t xml:space="preserve">Cannot describe the first-48-hour routine.</w:t>
            </w:r>
          </w:p>
        </w:tc>
      </w:tr>
    </w:tbl>
    <w:p>
      <w:pPr>
        <w:spacing w:after="0" w:before="180"/>
      </w:pPr>
      <w:r>
        <w:rPr>
          <w:rFonts w:ascii="Calibri" w:cs="Calibri" w:eastAsia="Calibri" w:hAnsi="Calibri"/>
          <w:b w:val="false"/>
          <w:bCs w:val="false"/>
          <w:i w:val="false"/>
          <w:iCs w:val="false"/>
          <w:color w:val="4A5068"/>
          <w:sz w:val="2"/>
          <w:szCs w:val="2"/>
        </w:rPr>
        <w:t xml:space="preserve"/>
      </w:r>
    </w:p>
    <w:tbl>
      <w:tblPr>
        <w:tblW w:type="dxa" w:w="9026"/>
        <w:tblBorders>
          <w:top w:val="single" w:color="F9C9D6" w:sz="2"/>
          <w:left w:val="single" w:color="EE3465" w:sz="12"/>
          <w:bottom w:val="single" w:color="F9C9D6" w:sz="2"/>
          <w:right w:val="single" w:color="F9C9D6" w:sz="2"/>
          <w:insideH w:val="none" w:color="FFFFFF" w:sz="0"/>
          <w:insideV w:val="none" w:color="FFFFFF" w:sz="0"/>
        </w:tblBorders>
      </w:tblPr>
      <w:tblGrid>
        <w:gridCol w:w="9026"/>
      </w:tblGrid>
      <w:tr>
        <w:tc>
          <w:tcPr>
            <w:tcW w:type="dxa" w:w="9026"/>
            <w:shd w:fill="FDF9F6" w:color="auto" w:val="clear"/>
            <w:tcMar>
              <w:top w:type="dxa" w:w="150"/>
              <w:left w:type="dxa" w:w="220"/>
              <w:bottom w:type="dxa" w:w="150"/>
              <w:right w:type="dxa" w:w="200"/>
            </w:tcMar>
          </w:tcPr>
          <w:p>
            <w:pPr>
              <w:spacing w:after="100"/>
            </w:pPr>
            <w:r>
              <w:rPr>
                <w:rFonts w:ascii="Calibri" w:cs="Calibri" w:eastAsia="Calibri" w:hAnsi="Calibri"/>
                <w:b/>
                <w:bCs/>
                <w:i w:val="false"/>
                <w:iCs w:val="false"/>
                <w:color w:val="EE3465"/>
                <w:sz w:val="16"/>
                <w:szCs w:val="16"/>
              </w:rPr>
              <w:t xml:space="preserve">WORKING BENCHMARK — WHAT TO REQUIRE</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111C3F"/>
                <w:sz w:val="19"/>
                <w:szCs w:val="19"/>
              </w:rPr>
              <w:t xml:space="preserve">A velocity check on every published asset within the first 24 to 48 hours, when early performance is most diagnostic.</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111C3F"/>
                <w:sz w:val="19"/>
                <w:szCs w:val="19"/>
              </w:rPr>
              <w:t xml:space="preserve">Live dashboard access for your team with data no more than a day behind.</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111C3F"/>
                <w:sz w:val="19"/>
                <w:szCs w:val="19"/>
              </w:rPr>
              <w:t xml:space="preserve">Written trigger thresholds — for example, an asset tracking materially below benchmark at 48 hours prompts a documented review, and any comment or sentiment risk prompts same-day escalation.</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111C3F"/>
                <w:sz w:val="19"/>
                <w:szCs w:val="19"/>
              </w:rPr>
              <w:t xml:space="preserve">A short written pulse weekly during flight — one page is enough — with the formal report monthly.</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111C3F"/>
                <w:sz w:val="19"/>
                <w:szCs w:val="19"/>
              </w:rPr>
              <w:t xml:space="preserve">Early indicators named explicitly: first-day view velocity, save and share rate, comment sentiment shift, completion rate. Distinguish these from final CPM and CPE, which arrive too late to act on.</w:t>
            </w:r>
          </w:p>
        </w:tc>
      </w:tr>
    </w:tbl>
    <w:p>
      <w:pPr>
        <w:spacing w:after="0" w:before="200"/>
      </w:pPr>
      <w:r>
        <w:rPr>
          <w:rFonts w:ascii="Calibri" w:cs="Calibri" w:eastAsia="Calibri" w:hAnsi="Calibri"/>
          <w:b w:val="false"/>
          <w:bCs w:val="false"/>
          <w:i w:val="false"/>
          <w:iCs w:val="false"/>
          <w:color w:val="4A5068"/>
          <w:sz w:val="2"/>
          <w:szCs w:val="2"/>
        </w:rPr>
        <w:t xml:space="preserve"/>
      </w:r>
    </w:p>
    <w:tbl>
      <w:tblPr>
        <w:tblW w:type="dxa" w:w="9026"/>
        <w:tblBorders>
          <w:top w:val="single" w:color="DFE1E8" w:sz="4"/>
          <w:left w:val="single" w:color="DFE1E8" w:sz="4"/>
          <w:bottom w:val="single" w:color="DFE1E8" w:sz="4"/>
          <w:right w:val="single" w:color="DFE1E8" w:sz="4"/>
          <w:insideH w:val="single" w:color="DFE1E8" w:sz="4"/>
          <w:insideV w:val="single" w:color="DFE1E8" w:sz="4"/>
        </w:tblBorders>
      </w:tblPr>
      <w:tblGrid>
        <w:gridCol w:w="1500"/>
        <w:gridCol w:w="7526"/>
      </w:tblGrid>
      <w:tr>
        <w:tc>
          <w:tcPr>
            <w:tcW w:type="dxa" w:w="1500"/>
            <w:shd w:fill="111C3F" w:color="auto" w:val="clear"/>
            <w:tcMar>
              <w:top w:type="dxa" w:w="80"/>
              <w:left w:type="dxa" w:w="140"/>
              <w:bottom w:type="dxa" w:w="80"/>
              <w:right w:type="dxa" w:w="140"/>
            </w:tcMar>
          </w:tcPr>
          <w:p>
            <w:pPr>
              <w:spacing w:after="0"/>
            </w:pPr>
            <w:r>
              <w:rPr>
                <w:rFonts w:ascii="Calibri" w:cs="Calibri" w:eastAsia="Calibri" w:hAnsi="Calibri"/>
                <w:b/>
                <w:bCs/>
                <w:i w:val="false"/>
                <w:iCs w:val="false"/>
                <w:color w:val="FFFFFF"/>
                <w:sz w:val="15"/>
                <w:szCs w:val="15"/>
              </w:rPr>
              <w:t xml:space="preserve">SCORE  0–3</w:t>
            </w:r>
          </w:p>
        </w:tc>
        <w:tc>
          <w:tcPr>
            <w:tcW w:type="dxa" w:w="7526"/>
            <w:shd w:fill="111C3F" w:color="auto" w:val="clear"/>
            <w:tcMar>
              <w:top w:type="dxa" w:w="80"/>
              <w:left w:type="dxa" w:w="140"/>
              <w:bottom w:type="dxa" w:w="80"/>
              <w:right w:type="dxa" w:w="140"/>
            </w:tcMar>
          </w:tcPr>
          <w:p>
            <w:pPr>
              <w:spacing w:after="0"/>
            </w:pPr>
            <w:r>
              <w:rPr>
                <w:rFonts w:ascii="Calibri" w:cs="Calibri" w:eastAsia="Calibri" w:hAnsi="Calibri"/>
                <w:b/>
                <w:bCs/>
                <w:i w:val="false"/>
                <w:iCs w:val="false"/>
                <w:color w:val="FFFFFF"/>
                <w:sz w:val="15"/>
                <w:szCs w:val="15"/>
              </w:rPr>
              <w:t xml:space="preserve">EVIDENCE THEY GAVE — QUOTE SPECIFICS, NOT IMPRESSIONS</w:t>
            </w:r>
          </w:p>
        </w:tc>
      </w:tr>
      <w:tr>
        <w:trPr>
          <w:trHeight w:val="1000" w:hRule="atLeast"/>
        </w:trPr>
        <w:tc>
          <w:tcPr>
            <w:tcW w:type="dxa" w:w="1500"/>
            <w:tcMar>
              <w:top w:type="dxa" w:w="120"/>
              <w:left w:type="dxa" w:w="140"/>
              <w:bottom w:type="dxa" w:w="120"/>
              <w:right w:type="dxa" w:w="140"/>
            </w:tcMar>
            <w:vAlign w:val="center"/>
          </w:tcPr>
          <w:p>
            <w:pPr>
              <w:spacing w:after="0"/>
              <w:jc w:val="center"/>
            </w:pPr>
            <w:r>
              <w:rPr>
                <w:rFonts w:ascii="Calibri" w:cs="Calibri" w:eastAsia="Calibri" w:hAnsi="Calibri"/>
                <w:b w:val="false"/>
                <w:bCs w:val="false"/>
                <w:i w:val="false"/>
                <w:iCs w:val="false"/>
                <w:color w:val="B9BDCB"/>
                <w:sz w:val="24"/>
                <w:szCs w:val="24"/>
              </w:rPr>
              <w:t xml:space="preserve">_______</w:t>
            </w:r>
          </w:p>
        </w:tc>
        <w:tc>
          <w:tcPr>
            <w:tcW w:type="dxa" w:w="7526"/>
            <w:tcMar>
              <w:top w:type="dxa" w:w="120"/>
              <w:left w:type="dxa" w:w="140"/>
              <w:bottom w:type="dxa" w:w="120"/>
              <w:right w:type="dxa" w:w="140"/>
            </w:tcMar>
          </w:tcPr>
          <w:p>
            <w:pPr>
              <w:spacing w:after="0"/>
            </w:pPr>
            <w:r>
              <w:rPr>
                <w:rFonts w:ascii="Calibri" w:cs="Calibri" w:eastAsia="Calibri" w:hAnsi="Calibri"/>
                <w:b w:val="false"/>
                <w:bCs w:val="false"/>
                <w:i w:val="false"/>
                <w:iCs w:val="false"/>
                <w:color w:val="4A5068"/>
                <w:sz w:val="20"/>
                <w:szCs w:val="20"/>
              </w:rPr>
              <w:t xml:space="preserve"/>
            </w:r>
          </w:p>
        </w:tc>
      </w:tr>
    </w:tbl>
    <w:p>
      <w:r>
        <w:br w:type="page"/>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70"/>
        <w:gridCol w:w="8956"/>
      </w:tblGrid>
      <w:tr>
        <w:tc>
          <w:tcPr>
            <w:tcW w:type="dxa" w:w="70"/>
            <w:shd w:fill="EE3465" w:color="auto" w:val="clear"/>
            <w:tcMar>
              <w:top w:type="dxa" w:w="0"/>
              <w:left w:type="dxa" w:w="0"/>
              <w:bottom w:type="dxa" w:w="0"/>
              <w:right w:type="dxa" w:w="0"/>
            </w:tcMar>
          </w:tcPr>
          <w:p>
            <w:r>
              <w:rPr>
                <w:rFonts w:ascii="Calibri" w:cs="Calibri" w:eastAsia="Calibri" w:hAnsi="Calibri"/>
                <w:b w:val="false"/>
                <w:bCs w:val="false"/>
                <w:i w:val="false"/>
                <w:iCs w:val="false"/>
                <w:color w:val="4A5068"/>
                <w:sz w:val="2"/>
                <w:szCs w:val="2"/>
              </w:rPr>
              <w:t xml:space="preserve"/>
            </w:r>
          </w:p>
        </w:tc>
        <w:tc>
          <w:tcPr>
            <w:tcW w:type="dxa" w:w="8956"/>
            <w:tcMar>
              <w:top w:type="dxa" w:w="40"/>
              <w:left w:type="dxa" w:w="200"/>
              <w:bottom w:type="dxa" w:w="40"/>
            </w:tcMar>
            <w:vAlign w:val="center"/>
          </w:tcPr>
          <w:p>
            <w:pPr>
              <w:spacing w:after="0" w:line="260"/>
            </w:pPr>
            <w:r>
              <w:rPr>
                <w:rFonts w:ascii="Calibri" w:cs="Calibri" w:eastAsia="Calibri" w:hAnsi="Calibri"/>
                <w:b/>
                <w:bCs/>
                <w:i w:val="false"/>
                <w:iCs w:val="false"/>
                <w:color w:val="EE3465"/>
                <w:sz w:val="17"/>
                <w:szCs w:val="17"/>
              </w:rPr>
              <w:t xml:space="preserve">Question 6</w:t>
            </w:r>
          </w:p>
          <w:p>
            <w:pPr>
              <w:spacing w:after="0" w:before="20" w:line="300"/>
            </w:pPr>
            <w:r>
              <w:rPr>
                <w:rFonts w:ascii="Calibri" w:cs="Calibri" w:eastAsia="Calibri" w:hAnsi="Calibri"/>
                <w:b/>
                <w:bCs/>
                <w:i w:val="false"/>
                <w:iCs w:val="false"/>
                <w:color w:val="111C3F"/>
                <w:sz w:val="26"/>
                <w:szCs w:val="26"/>
              </w:rPr>
              <w:t xml:space="preserve">When Did the Agency Last Recommend Changing an Approved Plan?</w:t>
            </w:r>
          </w:p>
        </w:tc>
      </w:tr>
    </w:tbl>
    <w:p>
      <w:pPr>
        <w:spacing w:after="160" w:before="100"/>
      </w:pPr>
      <w:r>
        <w:rPr>
          <w:rFonts w:ascii="Calibri" w:cs="Calibri" w:eastAsia="Calibri" w:hAnsi="Calibri"/>
          <w:b/>
          <w:bCs/>
          <w:i w:val="false"/>
          <w:iCs w:val="false"/>
          <w:color w:val="EE3465"/>
          <w:sz w:val="16"/>
          <w:szCs w:val="16"/>
        </w:rPr>
        <w:t xml:space="preserve">WHAT IT TESTS:  </w:t>
      </w:r>
      <w:r>
        <w:rPr>
          <w:rFonts w:ascii="Calibri" w:cs="Calibri" w:eastAsia="Calibri" w:hAnsi="Calibri"/>
          <w:b/>
          <w:bCs/>
          <w:i w:val="false"/>
          <w:iCs w:val="false"/>
          <w:color w:val="111C3F"/>
          <w:sz w:val="16"/>
          <w:szCs w:val="16"/>
        </w:rPr>
        <w:t xml:space="preserve">COUNSEL VERSUS EXECUTION</w:t>
      </w:r>
    </w:p>
    <w:p>
      <w:pPr>
        <w:spacing w:after="180" w:before="0" w:line="264"/>
      </w:pPr>
      <w:r>
        <w:rPr>
          <w:rFonts w:ascii="Calibri" w:cs="Calibri" w:eastAsia="Calibri" w:hAnsi="Calibri"/>
          <w:b w:val="false"/>
          <w:bCs w:val="false"/>
          <w:i w:val="false"/>
          <w:iCs w:val="false"/>
          <w:color w:val="4A5068"/>
          <w:sz w:val="20"/>
          <w:szCs w:val="20"/>
        </w:rPr>
        <w:t xml:space="preserve">This question separates a strategic partner from a competent order-taker. Both have their place, and you should know which you are buying before you sign. The strongest possible answer involves a recommendation that reduced the agency's own revenue — that is the clearest evidence that advice is not shaped by the invoice.</w:t>
      </w:r>
    </w:p>
    <w:p>
      <w:pPr>
        <w:spacing w:after="80" w:before="180"/>
      </w:pPr>
      <w:r>
        <w:rPr>
          <w:rFonts w:ascii="Calibri" w:cs="Calibri" w:eastAsia="Calibri" w:hAnsi="Calibri"/>
          <w:b/>
          <w:bCs/>
          <w:i w:val="false"/>
          <w:iCs w:val="false"/>
          <w:color w:val="EE3465"/>
          <w:sz w:val="16"/>
          <w:szCs w:val="16"/>
        </w:rPr>
        <w:t xml:space="preserve">FOLLOW-UP PROBES — ASK THESE VERBATIM</w:t>
      </w:r>
    </w:p>
    <w:p>
      <w:pPr>
        <w:pStyle w:val="ListParagraph"/>
        <w:numPr>
          <w:ilvl w:val="0"/>
          <w:numId w:val="2"/>
        </w:numPr>
        <w:spacing w:after="90" w:line="264"/>
      </w:pPr>
      <w:r>
        <w:rPr>
          <w:rFonts w:ascii="Calibri" w:cs="Calibri" w:eastAsia="Calibri" w:hAnsi="Calibri"/>
          <w:b w:val="false"/>
          <w:bCs w:val="false"/>
          <w:i w:val="false"/>
          <w:iCs w:val="false"/>
          <w:color w:val="4A5068"/>
          <w:sz w:val="20"/>
          <w:szCs w:val="20"/>
        </w:rPr>
        <w:t xml:space="preserve">What did you recommend changing, and when?</w:t>
      </w:r>
    </w:p>
    <w:p>
      <w:pPr>
        <w:pStyle w:val="ListParagraph"/>
        <w:numPr>
          <w:ilvl w:val="0"/>
          <w:numId w:val="2"/>
        </w:numPr>
        <w:spacing w:after="90" w:line="264"/>
      </w:pPr>
      <w:r>
        <w:rPr>
          <w:rFonts w:ascii="Calibri" w:cs="Calibri" w:eastAsia="Calibri" w:hAnsi="Calibri"/>
          <w:b w:val="false"/>
          <w:bCs w:val="false"/>
          <w:i w:val="false"/>
          <w:iCs w:val="false"/>
          <w:color w:val="4A5068"/>
          <w:sz w:val="20"/>
          <w:szCs w:val="20"/>
        </w:rPr>
        <w:t xml:space="preserve">Who raised it internally, and what evidence supported it?</w:t>
      </w:r>
    </w:p>
    <w:p>
      <w:pPr>
        <w:pStyle w:val="ListParagraph"/>
        <w:numPr>
          <w:ilvl w:val="0"/>
          <w:numId w:val="2"/>
        </w:numPr>
        <w:spacing w:after="90" w:line="264"/>
      </w:pPr>
      <w:r>
        <w:rPr>
          <w:rFonts w:ascii="Calibri" w:cs="Calibri" w:eastAsia="Calibri" w:hAnsi="Calibri"/>
          <w:b w:val="false"/>
          <w:bCs w:val="false"/>
          <w:i w:val="false"/>
          <w:iCs w:val="false"/>
          <w:color w:val="4A5068"/>
          <w:sz w:val="20"/>
          <w:szCs w:val="20"/>
        </w:rPr>
        <w:t xml:space="preserve">How did the recommendation travel through your organisation and the client's?</w:t>
      </w:r>
    </w:p>
    <w:p>
      <w:pPr>
        <w:pStyle w:val="ListParagraph"/>
        <w:numPr>
          <w:ilvl w:val="0"/>
          <w:numId w:val="2"/>
        </w:numPr>
        <w:spacing w:after="90" w:line="264"/>
      </w:pPr>
      <w:r>
        <w:rPr>
          <w:rFonts w:ascii="Calibri" w:cs="Calibri" w:eastAsia="Calibri" w:hAnsi="Calibri"/>
          <w:b w:val="false"/>
          <w:bCs w:val="false"/>
          <w:i w:val="false"/>
          <w:iCs w:val="false"/>
          <w:color w:val="4A5068"/>
          <w:sz w:val="20"/>
          <w:szCs w:val="20"/>
        </w:rPr>
        <w:t xml:space="preserve">What did the client decide — and if they declined, how did you handle it?</w:t>
      </w:r>
    </w:p>
    <w:p>
      <w:pPr>
        <w:pStyle w:val="ListParagraph"/>
        <w:numPr>
          <w:ilvl w:val="0"/>
          <w:numId w:val="2"/>
        </w:numPr>
        <w:spacing w:after="90" w:line="264"/>
      </w:pPr>
      <w:r>
        <w:rPr>
          <w:rFonts w:ascii="Calibri" w:cs="Calibri" w:eastAsia="Calibri" w:hAnsi="Calibri"/>
          <w:b w:val="false"/>
          <w:bCs w:val="false"/>
          <w:i w:val="false"/>
          <w:iCs w:val="false"/>
          <w:color w:val="4A5068"/>
          <w:sz w:val="20"/>
          <w:szCs w:val="20"/>
        </w:rPr>
        <w:t xml:space="preserve">Have you ever recommended something that reduced your own scope, fee, or revenue?</w:t>
      </w:r>
    </w:p>
    <w:p>
      <w:pPr>
        <w:pStyle w:val="ListParagraph"/>
        <w:numPr>
          <w:ilvl w:val="0"/>
          <w:numId w:val="2"/>
        </w:numPr>
        <w:spacing w:after="90" w:line="264"/>
      </w:pPr>
      <w:r>
        <w:rPr>
          <w:rFonts w:ascii="Calibri" w:cs="Calibri" w:eastAsia="Calibri" w:hAnsi="Calibri"/>
          <w:b w:val="false"/>
          <w:bCs w:val="false"/>
          <w:i w:val="false"/>
          <w:iCs w:val="false"/>
          <w:color w:val="4A5068"/>
          <w:sz w:val="20"/>
          <w:szCs w:val="20"/>
        </w:rPr>
        <w:t xml:space="preserve">Can we speak to a client who will confirm having been challenged by you?</w:t>
      </w:r>
    </w:p>
    <w:p>
      <w:r>
        <w:br w:type="page"/>
      </w:r>
    </w:p>
    <w:p>
      <w:pPr>
        <w:spacing w:after="60"/>
      </w:pPr>
      <w:r>
        <w:rPr>
          <w:rFonts w:ascii="Calibri" w:cs="Calibri" w:eastAsia="Calibri" w:hAnsi="Calibri"/>
          <w:b/>
          <w:bCs/>
          <w:i w:val="false"/>
          <w:iCs w:val="false"/>
          <w:color w:val="EE3465"/>
          <w:sz w:val="16"/>
          <w:szCs w:val="16"/>
        </w:rPr>
        <w:t xml:space="preserve">QUESTION 6</w:t>
      </w:r>
      <w:r>
        <w:rPr>
          <w:rFonts w:ascii="Calibri" w:cs="Calibri" w:eastAsia="Calibri" w:hAnsi="Calibri"/>
          <w:b/>
          <w:bCs/>
          <w:i w:val="false"/>
          <w:iCs w:val="false"/>
          <w:color w:val="F9C9D6"/>
          <w:sz w:val="16"/>
          <w:szCs w:val="16"/>
        </w:rPr>
        <w:t xml:space="preserve">  ·  </w:t>
      </w:r>
      <w:r>
        <w:rPr>
          <w:rFonts w:ascii="Calibri" w:cs="Calibri" w:eastAsia="Calibri" w:hAnsi="Calibri"/>
          <w:b/>
          <w:bCs/>
          <w:i w:val="false"/>
          <w:iCs w:val="false"/>
          <w:color w:val="111C3F"/>
          <w:sz w:val="16"/>
          <w:szCs w:val="16"/>
        </w:rPr>
        <w:t xml:space="preserve">COUNSEL VERSUS EXECUTION  ·  ASSESSING THE ANSWER</w:t>
      </w:r>
    </w:p>
    <w:p>
      <w:pPr>
        <w:pBdr>
          <w:bottom w:val="single" w:color="F9C9D6" w:sz="6"/>
        </w:pBdr>
        <w:spacing w:after="220"/>
      </w:pPr>
      <w:r>
        <w:rPr>
          <w:rFonts w:ascii="Calibri" w:cs="Calibri" w:eastAsia="Calibri" w:hAnsi="Calibri"/>
          <w:b w:val="false"/>
          <w:bCs w:val="false"/>
          <w:i w:val="false"/>
          <w:iCs w:val="false"/>
          <w:color w:val="4A5068"/>
          <w:sz w:val="2"/>
          <w:szCs w:val="2"/>
        </w:rPr>
        <w:t xml:space="preserve"/>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4513"/>
        <w:gridCol w:w="4513"/>
      </w:tblGrid>
      <w:tr>
        <w:tc>
          <w:tcPr>
            <w:tcW w:type="dxa" w:w="4513"/>
            <w:shd w:fill="EAF5F0" w:color="auto" w:val="clear"/>
            <w:tcMar>
              <w:top w:type="dxa" w:w="140"/>
              <w:left w:type="dxa" w:w="180"/>
              <w:bottom w:type="dxa" w:w="140"/>
              <w:right w:type="dxa" w:w="180"/>
            </w:tcMar>
          </w:tcPr>
          <w:p>
            <w:pPr>
              <w:spacing w:after="100"/>
            </w:pPr>
            <w:r>
              <w:rPr>
                <w:rFonts w:ascii="Calibri" w:cs="Calibri" w:eastAsia="Calibri" w:hAnsi="Calibri"/>
                <w:b/>
                <w:bCs/>
                <w:i w:val="false"/>
                <w:iCs w:val="false"/>
                <w:color w:val="1E7A54"/>
                <w:sz w:val="17"/>
                <w:szCs w:val="17"/>
              </w:rPr>
              <w:t xml:space="preserve">Strong answer sounds like</w:t>
            </w:r>
          </w:p>
          <w:p>
            <w:pPr>
              <w:spacing w:after="80" w:line="250"/>
              <w:ind w:left="170" w:hanging="170"/>
            </w:pPr>
            <w:r>
              <w:rPr>
                <w:rFonts w:ascii="Calibri" w:cs="Calibri" w:eastAsia="Calibri" w:hAnsi="Calibri"/>
                <w:b/>
                <w:bCs/>
                <w:i w:val="false"/>
                <w:iCs w:val="false"/>
                <w:color w:val="1E7A54"/>
                <w:sz w:val="20"/>
                <w:szCs w:val="20"/>
              </w:rPr>
              <w:t xml:space="preserve">—   </w:t>
            </w:r>
            <w:r>
              <w:rPr>
                <w:rFonts w:ascii="Calibri" w:cs="Calibri" w:eastAsia="Calibri" w:hAnsi="Calibri"/>
                <w:b w:val="false"/>
                <w:bCs w:val="false"/>
                <w:i w:val="false"/>
                <w:iCs w:val="false"/>
                <w:color w:val="4A5068"/>
                <w:sz w:val="19"/>
                <w:szCs w:val="19"/>
              </w:rPr>
              <w:t xml:space="preserve">A recent, specific example with a real decision trail.</w:t>
            </w:r>
          </w:p>
          <w:p>
            <w:pPr>
              <w:spacing w:after="80" w:line="250"/>
              <w:ind w:left="170" w:hanging="170"/>
            </w:pPr>
            <w:r>
              <w:rPr>
                <w:rFonts w:ascii="Calibri" w:cs="Calibri" w:eastAsia="Calibri" w:hAnsi="Calibri"/>
                <w:b/>
                <w:bCs/>
                <w:i w:val="false"/>
                <w:iCs w:val="false"/>
                <w:color w:val="1E7A54"/>
                <w:sz w:val="20"/>
                <w:szCs w:val="20"/>
              </w:rPr>
              <w:t xml:space="preserve">—   </w:t>
            </w:r>
            <w:r>
              <w:rPr>
                <w:rFonts w:ascii="Calibri" w:cs="Calibri" w:eastAsia="Calibri" w:hAnsi="Calibri"/>
                <w:b w:val="false"/>
                <w:bCs w:val="false"/>
                <w:i w:val="false"/>
                <w:iCs w:val="false"/>
                <w:color w:val="4A5068"/>
                <w:sz w:val="19"/>
                <w:szCs w:val="19"/>
              </w:rPr>
              <w:t xml:space="preserve">Includes a case where the client said no, and how that was managed.</w:t>
            </w:r>
          </w:p>
          <w:p>
            <w:pPr>
              <w:spacing w:after="80" w:line="250"/>
              <w:ind w:left="170" w:hanging="170"/>
            </w:pPr>
            <w:r>
              <w:rPr>
                <w:rFonts w:ascii="Calibri" w:cs="Calibri" w:eastAsia="Calibri" w:hAnsi="Calibri"/>
                <w:b/>
                <w:bCs/>
                <w:i w:val="false"/>
                <w:iCs w:val="false"/>
                <w:color w:val="1E7A54"/>
                <w:sz w:val="20"/>
                <w:szCs w:val="20"/>
              </w:rPr>
              <w:t xml:space="preserve">—   </w:t>
            </w:r>
            <w:r>
              <w:rPr>
                <w:rFonts w:ascii="Calibri" w:cs="Calibri" w:eastAsia="Calibri" w:hAnsi="Calibri"/>
                <w:b w:val="false"/>
                <w:bCs w:val="false"/>
                <w:i w:val="false"/>
                <w:iCs w:val="false"/>
                <w:color w:val="4A5068"/>
                <w:sz w:val="19"/>
                <w:szCs w:val="19"/>
              </w:rPr>
              <w:t xml:space="preserve">Evidence-led rather than opinion-led.</w:t>
            </w:r>
          </w:p>
          <w:p>
            <w:pPr>
              <w:spacing w:after="80" w:line="250"/>
              <w:ind w:left="170" w:hanging="170"/>
            </w:pPr>
            <w:r>
              <w:rPr>
                <w:rFonts w:ascii="Calibri" w:cs="Calibri" w:eastAsia="Calibri" w:hAnsi="Calibri"/>
                <w:b/>
                <w:bCs/>
                <w:i w:val="false"/>
                <w:iCs w:val="false"/>
                <w:color w:val="1E7A54"/>
                <w:sz w:val="20"/>
                <w:szCs w:val="20"/>
              </w:rPr>
              <w:t xml:space="preserve">—   </w:t>
            </w:r>
            <w:r>
              <w:rPr>
                <w:rFonts w:ascii="Calibri" w:cs="Calibri" w:eastAsia="Calibri" w:hAnsi="Calibri"/>
                <w:b w:val="false"/>
                <w:bCs w:val="false"/>
                <w:i w:val="false"/>
                <w:iCs w:val="false"/>
                <w:color w:val="4A5068"/>
                <w:sz w:val="19"/>
                <w:szCs w:val="19"/>
              </w:rPr>
              <w:t xml:space="preserve">Raised proactively, before the client spotted the problem.</w:t>
            </w:r>
          </w:p>
          <w:p>
            <w:pPr>
              <w:spacing w:after="80" w:line="250"/>
              <w:ind w:left="170" w:hanging="170"/>
            </w:pPr>
            <w:r>
              <w:rPr>
                <w:rFonts w:ascii="Calibri" w:cs="Calibri" w:eastAsia="Calibri" w:hAnsi="Calibri"/>
                <w:b/>
                <w:bCs/>
                <w:i w:val="false"/>
                <w:iCs w:val="false"/>
                <w:color w:val="1E7A54"/>
                <w:sz w:val="20"/>
                <w:szCs w:val="20"/>
              </w:rPr>
              <w:t xml:space="preserve">—   </w:t>
            </w:r>
            <w:r>
              <w:rPr>
                <w:rFonts w:ascii="Calibri" w:cs="Calibri" w:eastAsia="Calibri" w:hAnsi="Calibri"/>
                <w:b w:val="false"/>
                <w:bCs w:val="false"/>
                <w:i w:val="false"/>
                <w:iCs w:val="false"/>
                <w:color w:val="4A5068"/>
                <w:sz w:val="19"/>
                <w:szCs w:val="19"/>
              </w:rPr>
              <w:t xml:space="preserve">Can point to advice that cost the agency money.</w:t>
            </w:r>
          </w:p>
        </w:tc>
        <w:tc>
          <w:tcPr>
            <w:tcW w:type="dxa" w:w="4513"/>
            <w:shd w:fill="FDECF1" w:color="auto" w:val="clear"/>
            <w:tcMar>
              <w:top w:type="dxa" w:w="140"/>
              <w:left w:type="dxa" w:w="180"/>
              <w:bottom w:type="dxa" w:w="140"/>
              <w:right w:type="dxa" w:w="180"/>
            </w:tcMar>
          </w:tcPr>
          <w:p>
            <w:pPr>
              <w:spacing w:after="100"/>
            </w:pPr>
            <w:r>
              <w:rPr>
                <w:rFonts w:ascii="Calibri" w:cs="Calibri" w:eastAsia="Calibri" w:hAnsi="Calibri"/>
                <w:b/>
                <w:bCs/>
                <w:i w:val="false"/>
                <w:iCs w:val="false"/>
                <w:color w:val="EE3465"/>
                <w:sz w:val="17"/>
                <w:szCs w:val="17"/>
              </w:rPr>
              <w:t xml:space="preserve">Treat as a red flag</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4A5068"/>
                <w:sz w:val="19"/>
                <w:szCs w:val="19"/>
              </w:rPr>
              <w:t xml:space="preserve">Cannot recall a single example.</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4A5068"/>
                <w:sz w:val="19"/>
                <w:szCs w:val="19"/>
              </w:rPr>
              <w:t xml:space="preserve">"We deliver what has been approved" offered as a virtue.</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4A5068"/>
                <w:sz w:val="19"/>
                <w:szCs w:val="19"/>
              </w:rPr>
              <w:t xml:space="preserve">Every challenge conveniently increased their fee or scope.</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4A5068"/>
                <w:sz w:val="19"/>
                <w:szCs w:val="19"/>
              </w:rPr>
              <w:t xml:space="preserve">The example turns out to be an upsell in different framing.</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4A5068"/>
                <w:sz w:val="19"/>
                <w:szCs w:val="19"/>
              </w:rPr>
              <w:t xml:space="preserve">No client willing to corroborate.</w:t>
            </w:r>
          </w:p>
        </w:tc>
      </w:tr>
    </w:tbl>
    <w:p>
      <w:pPr>
        <w:spacing w:after="0" w:before="180"/>
      </w:pPr>
      <w:r>
        <w:rPr>
          <w:rFonts w:ascii="Calibri" w:cs="Calibri" w:eastAsia="Calibri" w:hAnsi="Calibri"/>
          <w:b w:val="false"/>
          <w:bCs w:val="false"/>
          <w:i w:val="false"/>
          <w:iCs w:val="false"/>
          <w:color w:val="4A5068"/>
          <w:sz w:val="2"/>
          <w:szCs w:val="2"/>
        </w:rPr>
        <w:t xml:space="preserve"/>
      </w:r>
    </w:p>
    <w:tbl>
      <w:tblPr>
        <w:tblW w:type="dxa" w:w="9026"/>
        <w:tblBorders>
          <w:top w:val="single" w:color="F9C9D6" w:sz="2"/>
          <w:left w:val="single" w:color="EE3465" w:sz="12"/>
          <w:bottom w:val="single" w:color="F9C9D6" w:sz="2"/>
          <w:right w:val="single" w:color="F9C9D6" w:sz="2"/>
          <w:insideH w:val="none" w:color="FFFFFF" w:sz="0"/>
          <w:insideV w:val="none" w:color="FFFFFF" w:sz="0"/>
        </w:tblBorders>
      </w:tblPr>
      <w:tblGrid>
        <w:gridCol w:w="9026"/>
      </w:tblGrid>
      <w:tr>
        <w:tc>
          <w:tcPr>
            <w:tcW w:type="dxa" w:w="9026"/>
            <w:shd w:fill="FDF9F6" w:color="auto" w:val="clear"/>
            <w:tcMar>
              <w:top w:type="dxa" w:w="150"/>
              <w:left w:type="dxa" w:w="220"/>
              <w:bottom w:type="dxa" w:w="150"/>
              <w:right w:type="dxa" w:w="200"/>
            </w:tcMar>
          </w:tcPr>
          <w:p>
            <w:pPr>
              <w:spacing w:after="100"/>
            </w:pPr>
            <w:r>
              <w:rPr>
                <w:rFonts w:ascii="Calibri" w:cs="Calibri" w:eastAsia="Calibri" w:hAnsi="Calibri"/>
                <w:b/>
                <w:bCs/>
                <w:i w:val="false"/>
                <w:iCs w:val="false"/>
                <w:color w:val="EE3465"/>
                <w:sz w:val="16"/>
                <w:szCs w:val="16"/>
              </w:rPr>
              <w:t xml:space="preserve">WORKING BENCHMARK — WHAT TO REQUIRE</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111C3F"/>
                <w:sz w:val="19"/>
                <w:szCs w:val="19"/>
              </w:rPr>
              <w:t xml:space="preserve">Expect at least one concrete example from the past six to twelve months. Vagueness here usually means execution-only.</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111C3F"/>
                <w:sz w:val="19"/>
                <w:szCs w:val="19"/>
              </w:rPr>
              <w:t xml:space="preserve">Push for one example where the recommendation reduced the agency's own revenue or scope — the single strongest indicator of genuine counsel.</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111C3F"/>
                <w:sz w:val="19"/>
                <w:szCs w:val="19"/>
              </w:rPr>
              <w:t xml:space="preserve">Ask for a client reference who can confirm being challenged, and actually make the call.</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111C3F"/>
                <w:sz w:val="19"/>
                <w:szCs w:val="19"/>
              </w:rPr>
              <w:t xml:space="preserve">Check whether the challenge was raised before or after the client noticed the problem. Only the former is advisory.</w:t>
            </w:r>
          </w:p>
          <w:p>
            <w:pPr>
              <w:spacing w:after="80" w:line="250"/>
              <w:ind w:left="170" w:hanging="170"/>
            </w:pPr>
            <w:r>
              <w:rPr>
                <w:rFonts w:ascii="Calibri" w:cs="Calibri" w:eastAsia="Calibri" w:hAnsi="Calibri"/>
                <w:b/>
                <w:bCs/>
                <w:i w:val="false"/>
                <w:iCs w:val="false"/>
                <w:color w:val="EE3465"/>
                <w:sz w:val="20"/>
                <w:szCs w:val="20"/>
              </w:rPr>
              <w:t xml:space="preserve">▪   </w:t>
            </w:r>
            <w:r>
              <w:rPr>
                <w:rFonts w:ascii="Calibri" w:cs="Calibri" w:eastAsia="Calibri" w:hAnsi="Calibri"/>
                <w:b w:val="false"/>
                <w:bCs w:val="false"/>
                <w:i w:val="false"/>
                <w:iCs w:val="false"/>
                <w:color w:val="111C3F"/>
                <w:sz w:val="19"/>
                <w:szCs w:val="19"/>
              </w:rPr>
              <w:t xml:space="preserve">Write a standing obligation into the SOW: material underperformance must be flagged proactively with a recommendation, not surfaced at the next review.</w:t>
            </w:r>
          </w:p>
        </w:tc>
      </w:tr>
    </w:tbl>
    <w:p>
      <w:pPr>
        <w:spacing w:after="0" w:before="200"/>
      </w:pPr>
      <w:r>
        <w:rPr>
          <w:rFonts w:ascii="Calibri" w:cs="Calibri" w:eastAsia="Calibri" w:hAnsi="Calibri"/>
          <w:b w:val="false"/>
          <w:bCs w:val="false"/>
          <w:i w:val="false"/>
          <w:iCs w:val="false"/>
          <w:color w:val="4A5068"/>
          <w:sz w:val="2"/>
          <w:szCs w:val="2"/>
        </w:rPr>
        <w:t xml:space="preserve"/>
      </w:r>
    </w:p>
    <w:tbl>
      <w:tblPr>
        <w:tblW w:type="dxa" w:w="9026"/>
        <w:tblBorders>
          <w:top w:val="single" w:color="DFE1E8" w:sz="4"/>
          <w:left w:val="single" w:color="DFE1E8" w:sz="4"/>
          <w:bottom w:val="single" w:color="DFE1E8" w:sz="4"/>
          <w:right w:val="single" w:color="DFE1E8" w:sz="4"/>
          <w:insideH w:val="single" w:color="DFE1E8" w:sz="4"/>
          <w:insideV w:val="single" w:color="DFE1E8" w:sz="4"/>
        </w:tblBorders>
      </w:tblPr>
      <w:tblGrid>
        <w:gridCol w:w="1500"/>
        <w:gridCol w:w="7526"/>
      </w:tblGrid>
      <w:tr>
        <w:tc>
          <w:tcPr>
            <w:tcW w:type="dxa" w:w="1500"/>
            <w:shd w:fill="111C3F" w:color="auto" w:val="clear"/>
            <w:tcMar>
              <w:top w:type="dxa" w:w="80"/>
              <w:left w:type="dxa" w:w="140"/>
              <w:bottom w:type="dxa" w:w="80"/>
              <w:right w:type="dxa" w:w="140"/>
            </w:tcMar>
          </w:tcPr>
          <w:p>
            <w:pPr>
              <w:spacing w:after="0"/>
            </w:pPr>
            <w:r>
              <w:rPr>
                <w:rFonts w:ascii="Calibri" w:cs="Calibri" w:eastAsia="Calibri" w:hAnsi="Calibri"/>
                <w:b/>
                <w:bCs/>
                <w:i w:val="false"/>
                <w:iCs w:val="false"/>
                <w:color w:val="FFFFFF"/>
                <w:sz w:val="15"/>
                <w:szCs w:val="15"/>
              </w:rPr>
              <w:t xml:space="preserve">SCORE  0–3</w:t>
            </w:r>
          </w:p>
        </w:tc>
        <w:tc>
          <w:tcPr>
            <w:tcW w:type="dxa" w:w="7526"/>
            <w:shd w:fill="111C3F" w:color="auto" w:val="clear"/>
            <w:tcMar>
              <w:top w:type="dxa" w:w="80"/>
              <w:left w:type="dxa" w:w="140"/>
              <w:bottom w:type="dxa" w:w="80"/>
              <w:right w:type="dxa" w:w="140"/>
            </w:tcMar>
          </w:tcPr>
          <w:p>
            <w:pPr>
              <w:spacing w:after="0"/>
            </w:pPr>
            <w:r>
              <w:rPr>
                <w:rFonts w:ascii="Calibri" w:cs="Calibri" w:eastAsia="Calibri" w:hAnsi="Calibri"/>
                <w:b/>
                <w:bCs/>
                <w:i w:val="false"/>
                <w:iCs w:val="false"/>
                <w:color w:val="FFFFFF"/>
                <w:sz w:val="15"/>
                <w:szCs w:val="15"/>
              </w:rPr>
              <w:t xml:space="preserve">EVIDENCE THEY GAVE — QUOTE SPECIFICS, NOT IMPRESSIONS</w:t>
            </w:r>
          </w:p>
        </w:tc>
      </w:tr>
      <w:tr>
        <w:trPr>
          <w:trHeight w:val="1000" w:hRule="atLeast"/>
        </w:trPr>
        <w:tc>
          <w:tcPr>
            <w:tcW w:type="dxa" w:w="1500"/>
            <w:tcMar>
              <w:top w:type="dxa" w:w="120"/>
              <w:left w:type="dxa" w:w="140"/>
              <w:bottom w:type="dxa" w:w="120"/>
              <w:right w:type="dxa" w:w="140"/>
            </w:tcMar>
            <w:vAlign w:val="center"/>
          </w:tcPr>
          <w:p>
            <w:pPr>
              <w:spacing w:after="0"/>
              <w:jc w:val="center"/>
            </w:pPr>
            <w:r>
              <w:rPr>
                <w:rFonts w:ascii="Calibri" w:cs="Calibri" w:eastAsia="Calibri" w:hAnsi="Calibri"/>
                <w:b w:val="false"/>
                <w:bCs w:val="false"/>
                <w:i w:val="false"/>
                <w:iCs w:val="false"/>
                <w:color w:val="B9BDCB"/>
                <w:sz w:val="24"/>
                <w:szCs w:val="24"/>
              </w:rPr>
              <w:t xml:space="preserve">_______</w:t>
            </w:r>
          </w:p>
        </w:tc>
        <w:tc>
          <w:tcPr>
            <w:tcW w:type="dxa" w:w="7526"/>
            <w:tcMar>
              <w:top w:type="dxa" w:w="120"/>
              <w:left w:type="dxa" w:w="140"/>
              <w:bottom w:type="dxa" w:w="120"/>
              <w:right w:type="dxa" w:w="140"/>
            </w:tcMar>
          </w:tcPr>
          <w:p>
            <w:pPr>
              <w:spacing w:after="0"/>
            </w:pPr>
            <w:r>
              <w:rPr>
                <w:rFonts w:ascii="Calibri" w:cs="Calibri" w:eastAsia="Calibri" w:hAnsi="Calibri"/>
                <w:b w:val="false"/>
                <w:bCs w:val="false"/>
                <w:i w:val="false"/>
                <w:iCs w:val="false"/>
                <w:color w:val="4A5068"/>
                <w:sz w:val="20"/>
                <w:szCs w:val="20"/>
              </w:rPr>
              <w:t xml:space="preserve"/>
            </w:r>
          </w:p>
        </w:tc>
      </w:tr>
    </w:tbl>
    <w:p>
      <w:r>
        <w:br w:type="page"/>
      </w:r>
    </w:p>
    <w:p>
      <w:pPr>
        <w:spacing w:after="120" w:line="400"/>
      </w:pPr>
      <w:r>
        <w:rPr>
          <w:rFonts w:ascii="Calibri" w:cs="Calibri" w:eastAsia="Calibri" w:hAnsi="Calibri"/>
          <w:b/>
          <w:bCs/>
          <w:i w:val="false"/>
          <w:iCs w:val="false"/>
          <w:color w:val="111C3F"/>
          <w:sz w:val="34"/>
          <w:szCs w:val="34"/>
        </w:rPr>
        <w:t xml:space="preserve">Comparison Scorecard</w:t>
      </w:r>
    </w:p>
    <w:p>
      <w:pPr>
        <w:pBdr>
          <w:bottom w:val="single" w:color="EE3465" w:sz="10"/>
        </w:pBdr>
        <w:spacing w:after="200"/>
      </w:pPr>
      <w:r>
        <w:rPr>
          <w:rFonts w:ascii="Calibri" w:cs="Calibri" w:eastAsia="Calibri" w:hAnsi="Calibri"/>
          <w:b w:val="false"/>
          <w:bCs w:val="false"/>
          <w:i w:val="false"/>
          <w:iCs w:val="false"/>
          <w:color w:val="4A5068"/>
          <w:sz w:val="2"/>
          <w:szCs w:val="2"/>
        </w:rPr>
        <w:t xml:space="preserve"/>
      </w:r>
    </w:p>
    <w:p>
      <w:pPr>
        <w:spacing w:after="200" w:before="0" w:line="264"/>
      </w:pPr>
      <w:r>
        <w:rPr>
          <w:rFonts w:ascii="Calibri" w:cs="Calibri" w:eastAsia="Calibri" w:hAnsi="Calibri"/>
          <w:b w:val="false"/>
          <w:bCs w:val="false"/>
          <w:i w:val="false"/>
          <w:iCs w:val="false"/>
          <w:color w:val="4A5068"/>
          <w:sz w:val="20"/>
          <w:szCs w:val="20"/>
        </w:rPr>
        <w:t xml:space="preserve">Transfer each score here once all agencies have been seen. Fill this in after the last meeting, not during — scoring one agency against the memory of another is how the most recent pitch wins.</w:t>
      </w:r>
    </w:p>
    <w:tbl>
      <w:tblPr>
        <w:tblW w:type="dxa" w:w="9026"/>
        <w:tblBorders>
          <w:top w:val="single" w:color="DFE1E8" w:sz="4"/>
          <w:left w:val="single" w:color="DFE1E8" w:sz="4"/>
          <w:bottom w:val="single" w:color="DFE1E8" w:sz="4"/>
          <w:right w:val="single" w:color="DFE1E8" w:sz="4"/>
          <w:insideH w:val="single" w:color="DFE1E8" w:sz="4"/>
          <w:insideV w:val="single" w:color="DFE1E8" w:sz="4"/>
        </w:tblBorders>
      </w:tblPr>
      <w:tblGrid>
        <w:gridCol w:w="3600"/>
        <w:gridCol w:w="1356"/>
        <w:gridCol w:w="1356"/>
        <w:gridCol w:w="1356"/>
        <w:gridCol w:w="1358"/>
      </w:tblGrid>
      <w:tr>
        <w:trPr>
          <w:tblHeader/>
        </w:trPr>
        <w:tc>
          <w:tcPr>
            <w:tcW w:type="dxa" w:w="3600"/>
            <w:shd w:fill="111C3F" w:color="auto" w:val="clear"/>
            <w:tcMar>
              <w:top w:type="dxa" w:w="110"/>
              <w:left w:type="dxa" w:w="140"/>
              <w:bottom w:type="dxa" w:w="110"/>
              <w:right w:type="dxa" w:w="140"/>
            </w:tcMar>
          </w:tcPr>
          <w:p>
            <w:pPr>
              <w:spacing w:after="0"/>
            </w:pPr>
            <w:r>
              <w:rPr>
                <w:rFonts w:ascii="Calibri" w:cs="Calibri" w:eastAsia="Calibri" w:hAnsi="Calibri"/>
                <w:b/>
                <w:bCs/>
                <w:i w:val="false"/>
                <w:iCs w:val="false"/>
                <w:color w:val="FFFFFF"/>
                <w:sz w:val="15"/>
                <w:szCs w:val="15"/>
              </w:rPr>
              <w:t xml:space="preserve">QUESTION</w:t>
            </w:r>
          </w:p>
        </w:tc>
        <w:tc>
          <w:tcPr>
            <w:tcW w:type="dxa" w:w="1356"/>
            <w:shd w:fill="111C3F" w:color="auto" w:val="clear"/>
            <w:tcMar>
              <w:top w:type="dxa" w:w="110"/>
              <w:left w:type="dxa" w:w="140"/>
              <w:bottom w:type="dxa" w:w="110"/>
              <w:right w:type="dxa" w:w="140"/>
            </w:tcMar>
          </w:tcPr>
          <w:p>
            <w:pPr>
              <w:spacing w:after="0"/>
              <w:jc w:val="center"/>
            </w:pPr>
            <w:r>
              <w:rPr>
                <w:rFonts w:ascii="Calibri" w:cs="Calibri" w:eastAsia="Calibri" w:hAnsi="Calibri"/>
                <w:b/>
                <w:bCs/>
                <w:i w:val="false"/>
                <w:iCs w:val="false"/>
                <w:color w:val="FFFFFF"/>
                <w:sz w:val="15"/>
                <w:szCs w:val="15"/>
              </w:rPr>
              <w:t xml:space="preserve">AGENCY A</w:t>
            </w:r>
          </w:p>
        </w:tc>
        <w:tc>
          <w:tcPr>
            <w:tcW w:type="dxa" w:w="1356"/>
            <w:shd w:fill="111C3F" w:color="auto" w:val="clear"/>
            <w:tcMar>
              <w:top w:type="dxa" w:w="110"/>
              <w:left w:type="dxa" w:w="140"/>
              <w:bottom w:type="dxa" w:w="110"/>
              <w:right w:type="dxa" w:w="140"/>
            </w:tcMar>
          </w:tcPr>
          <w:p>
            <w:pPr>
              <w:spacing w:after="0"/>
              <w:jc w:val="center"/>
            </w:pPr>
            <w:r>
              <w:rPr>
                <w:rFonts w:ascii="Calibri" w:cs="Calibri" w:eastAsia="Calibri" w:hAnsi="Calibri"/>
                <w:b/>
                <w:bCs/>
                <w:i w:val="false"/>
                <w:iCs w:val="false"/>
                <w:color w:val="FFFFFF"/>
                <w:sz w:val="15"/>
                <w:szCs w:val="15"/>
              </w:rPr>
              <w:t xml:space="preserve">AGENCY B</w:t>
            </w:r>
          </w:p>
        </w:tc>
        <w:tc>
          <w:tcPr>
            <w:tcW w:type="dxa" w:w="1356"/>
            <w:shd w:fill="111C3F" w:color="auto" w:val="clear"/>
            <w:tcMar>
              <w:top w:type="dxa" w:w="110"/>
              <w:left w:type="dxa" w:w="140"/>
              <w:bottom w:type="dxa" w:w="110"/>
              <w:right w:type="dxa" w:w="140"/>
            </w:tcMar>
          </w:tcPr>
          <w:p>
            <w:pPr>
              <w:spacing w:after="0"/>
              <w:jc w:val="center"/>
            </w:pPr>
            <w:r>
              <w:rPr>
                <w:rFonts w:ascii="Calibri" w:cs="Calibri" w:eastAsia="Calibri" w:hAnsi="Calibri"/>
                <w:b/>
                <w:bCs/>
                <w:i w:val="false"/>
                <w:iCs w:val="false"/>
                <w:color w:val="FFFFFF"/>
                <w:sz w:val="15"/>
                <w:szCs w:val="15"/>
              </w:rPr>
              <w:t xml:space="preserve">AGENCY C</w:t>
            </w:r>
          </w:p>
        </w:tc>
        <w:tc>
          <w:tcPr>
            <w:tcW w:type="dxa" w:w="1358"/>
            <w:shd w:fill="111C3F" w:color="auto" w:val="clear"/>
            <w:tcMar>
              <w:top w:type="dxa" w:w="110"/>
              <w:left w:type="dxa" w:w="140"/>
              <w:bottom w:type="dxa" w:w="110"/>
              <w:right w:type="dxa" w:w="140"/>
            </w:tcMar>
          </w:tcPr>
          <w:p>
            <w:pPr>
              <w:spacing w:after="0"/>
              <w:jc w:val="center"/>
            </w:pPr>
            <w:r>
              <w:rPr>
                <w:rFonts w:ascii="Calibri" w:cs="Calibri" w:eastAsia="Calibri" w:hAnsi="Calibri"/>
                <w:b/>
                <w:bCs/>
                <w:i w:val="false"/>
                <w:iCs w:val="false"/>
                <w:color w:val="FFFFFF"/>
                <w:sz w:val="15"/>
                <w:szCs w:val="15"/>
              </w:rPr>
              <w:t xml:space="preserve">AGENCY D</w:t>
            </w:r>
          </w:p>
        </w:tc>
      </w:tr>
      <w:tr>
        <w:tc>
          <w:tcPr>
            <w:tcW w:type="dxa" w:w="3600"/>
            <w:tcMar>
              <w:top w:type="dxa" w:w="140"/>
              <w:left w:type="dxa" w:w="140"/>
              <w:bottom w:type="dxa" w:w="140"/>
              <w:right w:type="dxa" w:w="140"/>
            </w:tcMar>
            <w:vAlign w:val="center"/>
          </w:tcPr>
          <w:p>
            <w:pPr>
              <w:spacing w:after="0" w:line="250"/>
            </w:pPr>
            <w:r>
              <w:rPr>
                <w:rFonts w:ascii="Calibri" w:cs="Calibri" w:eastAsia="Calibri" w:hAnsi="Calibri"/>
                <w:b/>
                <w:bCs/>
                <w:i w:val="false"/>
                <w:iCs w:val="false"/>
                <w:color w:val="EE3465"/>
                <w:sz w:val="19"/>
                <w:szCs w:val="19"/>
              </w:rPr>
              <w:t xml:space="preserve">1.  </w:t>
            </w:r>
            <w:r>
              <w:rPr>
                <w:rFonts w:ascii="Calibri" w:cs="Calibri" w:eastAsia="Calibri" w:hAnsi="Calibri"/>
                <w:b w:val="false"/>
                <w:bCs w:val="false"/>
                <w:i w:val="false"/>
                <w:iCs w:val="false"/>
                <w:color w:val="111C3F"/>
                <w:sz w:val="19"/>
                <w:szCs w:val="19"/>
              </w:rPr>
              <w:t xml:space="preserve">Commercial model and incentive transparency</w:t>
            </w:r>
          </w:p>
        </w:tc>
        <w:tc>
          <w:tcPr>
            <w:tcW w:type="dxa" w:w="1356"/>
            <w:tcMar>
              <w:top w:type="dxa" w:w="140"/>
              <w:left w:type="dxa" w:w="100"/>
              <w:bottom w:type="dxa" w:w="140"/>
              <w:right w:type="dxa" w:w="100"/>
            </w:tcMar>
            <w:vAlign w:val="center"/>
          </w:tcPr>
          <w:p>
            <w:pPr>
              <w:spacing w:after="0"/>
              <w:jc w:val="center"/>
            </w:pPr>
            <w:r>
              <w:rPr>
                <w:rFonts w:ascii="Calibri" w:cs="Calibri" w:eastAsia="Calibri" w:hAnsi="Calibri"/>
                <w:b w:val="false"/>
                <w:bCs w:val="false"/>
                <w:i w:val="false"/>
                <w:iCs w:val="false"/>
                <w:color w:val="4A5068"/>
                <w:sz w:val="20"/>
                <w:szCs w:val="20"/>
              </w:rPr>
              <w:t xml:space="preserve"/>
            </w:r>
          </w:p>
        </w:tc>
        <w:tc>
          <w:tcPr>
            <w:tcW w:type="dxa" w:w="1356"/>
            <w:tcMar>
              <w:top w:type="dxa" w:w="140"/>
              <w:left w:type="dxa" w:w="100"/>
              <w:bottom w:type="dxa" w:w="140"/>
              <w:right w:type="dxa" w:w="100"/>
            </w:tcMar>
            <w:vAlign w:val="center"/>
          </w:tcPr>
          <w:p>
            <w:pPr>
              <w:spacing w:after="0"/>
              <w:jc w:val="center"/>
            </w:pPr>
            <w:r>
              <w:rPr>
                <w:rFonts w:ascii="Calibri" w:cs="Calibri" w:eastAsia="Calibri" w:hAnsi="Calibri"/>
                <w:b w:val="false"/>
                <w:bCs w:val="false"/>
                <w:i w:val="false"/>
                <w:iCs w:val="false"/>
                <w:color w:val="4A5068"/>
                <w:sz w:val="20"/>
                <w:szCs w:val="20"/>
              </w:rPr>
              <w:t xml:space="preserve"/>
            </w:r>
          </w:p>
        </w:tc>
        <w:tc>
          <w:tcPr>
            <w:tcW w:type="dxa" w:w="1356"/>
            <w:tcMar>
              <w:top w:type="dxa" w:w="140"/>
              <w:left w:type="dxa" w:w="100"/>
              <w:bottom w:type="dxa" w:w="140"/>
              <w:right w:type="dxa" w:w="100"/>
            </w:tcMar>
            <w:vAlign w:val="center"/>
          </w:tcPr>
          <w:p>
            <w:pPr>
              <w:spacing w:after="0"/>
              <w:jc w:val="center"/>
            </w:pPr>
            <w:r>
              <w:rPr>
                <w:rFonts w:ascii="Calibri" w:cs="Calibri" w:eastAsia="Calibri" w:hAnsi="Calibri"/>
                <w:b w:val="false"/>
                <w:bCs w:val="false"/>
                <w:i w:val="false"/>
                <w:iCs w:val="false"/>
                <w:color w:val="4A5068"/>
                <w:sz w:val="20"/>
                <w:szCs w:val="20"/>
              </w:rPr>
              <w:t xml:space="preserve"/>
            </w:r>
          </w:p>
        </w:tc>
        <w:tc>
          <w:tcPr>
            <w:tcW w:type="dxa" w:w="1358"/>
            <w:tcMar>
              <w:top w:type="dxa" w:w="140"/>
              <w:left w:type="dxa" w:w="100"/>
              <w:bottom w:type="dxa" w:w="140"/>
              <w:right w:type="dxa" w:w="100"/>
            </w:tcMar>
            <w:vAlign w:val="center"/>
          </w:tcPr>
          <w:p>
            <w:pPr>
              <w:spacing w:after="0"/>
              <w:jc w:val="center"/>
            </w:pPr>
            <w:r>
              <w:rPr>
                <w:rFonts w:ascii="Calibri" w:cs="Calibri" w:eastAsia="Calibri" w:hAnsi="Calibri"/>
                <w:b w:val="false"/>
                <w:bCs w:val="false"/>
                <w:i w:val="false"/>
                <w:iCs w:val="false"/>
                <w:color w:val="4A5068"/>
                <w:sz w:val="20"/>
                <w:szCs w:val="20"/>
              </w:rPr>
              <w:t xml:space="preserve"/>
            </w:r>
          </w:p>
        </w:tc>
      </w:tr>
      <w:tr>
        <w:tc>
          <w:tcPr>
            <w:tcW w:type="dxa" w:w="3600"/>
            <w:tcMar>
              <w:top w:type="dxa" w:w="140"/>
              <w:left w:type="dxa" w:w="140"/>
              <w:bottom w:type="dxa" w:w="140"/>
              <w:right w:type="dxa" w:w="140"/>
            </w:tcMar>
            <w:vAlign w:val="center"/>
          </w:tcPr>
          <w:p>
            <w:pPr>
              <w:spacing w:after="0" w:line="250"/>
            </w:pPr>
            <w:r>
              <w:rPr>
                <w:rFonts w:ascii="Calibri" w:cs="Calibri" w:eastAsia="Calibri" w:hAnsi="Calibri"/>
                <w:b/>
                <w:bCs/>
                <w:i w:val="false"/>
                <w:iCs w:val="false"/>
                <w:color w:val="EE3465"/>
                <w:sz w:val="19"/>
                <w:szCs w:val="19"/>
              </w:rPr>
              <w:t xml:space="preserve">2.  </w:t>
            </w:r>
            <w:r>
              <w:rPr>
                <w:rFonts w:ascii="Calibri" w:cs="Calibri" w:eastAsia="Calibri" w:hAnsi="Calibri"/>
                <w:b w:val="false"/>
                <w:bCs w:val="false"/>
                <w:i w:val="false"/>
                <w:iCs w:val="false"/>
                <w:color w:val="111C3F"/>
                <w:sz w:val="19"/>
                <w:szCs w:val="19"/>
              </w:rPr>
              <w:t xml:space="preserve">Creator pool breadth and selection rigour</w:t>
            </w:r>
          </w:p>
        </w:tc>
        <w:tc>
          <w:tcPr>
            <w:tcW w:type="dxa" w:w="1356"/>
            <w:tcMar>
              <w:top w:type="dxa" w:w="140"/>
              <w:left w:type="dxa" w:w="100"/>
              <w:bottom w:type="dxa" w:w="140"/>
              <w:right w:type="dxa" w:w="100"/>
            </w:tcMar>
            <w:vAlign w:val="center"/>
          </w:tcPr>
          <w:p>
            <w:pPr>
              <w:spacing w:after="0"/>
              <w:jc w:val="center"/>
            </w:pPr>
            <w:r>
              <w:rPr>
                <w:rFonts w:ascii="Calibri" w:cs="Calibri" w:eastAsia="Calibri" w:hAnsi="Calibri"/>
                <w:b w:val="false"/>
                <w:bCs w:val="false"/>
                <w:i w:val="false"/>
                <w:iCs w:val="false"/>
                <w:color w:val="4A5068"/>
                <w:sz w:val="20"/>
                <w:szCs w:val="20"/>
              </w:rPr>
              <w:t xml:space="preserve"/>
            </w:r>
          </w:p>
        </w:tc>
        <w:tc>
          <w:tcPr>
            <w:tcW w:type="dxa" w:w="1356"/>
            <w:tcMar>
              <w:top w:type="dxa" w:w="140"/>
              <w:left w:type="dxa" w:w="100"/>
              <w:bottom w:type="dxa" w:w="140"/>
              <w:right w:type="dxa" w:w="100"/>
            </w:tcMar>
            <w:vAlign w:val="center"/>
          </w:tcPr>
          <w:p>
            <w:pPr>
              <w:spacing w:after="0"/>
              <w:jc w:val="center"/>
            </w:pPr>
            <w:r>
              <w:rPr>
                <w:rFonts w:ascii="Calibri" w:cs="Calibri" w:eastAsia="Calibri" w:hAnsi="Calibri"/>
                <w:b w:val="false"/>
                <w:bCs w:val="false"/>
                <w:i w:val="false"/>
                <w:iCs w:val="false"/>
                <w:color w:val="4A5068"/>
                <w:sz w:val="20"/>
                <w:szCs w:val="20"/>
              </w:rPr>
              <w:t xml:space="preserve"/>
            </w:r>
          </w:p>
        </w:tc>
        <w:tc>
          <w:tcPr>
            <w:tcW w:type="dxa" w:w="1356"/>
            <w:tcMar>
              <w:top w:type="dxa" w:w="140"/>
              <w:left w:type="dxa" w:w="100"/>
              <w:bottom w:type="dxa" w:w="140"/>
              <w:right w:type="dxa" w:w="100"/>
            </w:tcMar>
            <w:vAlign w:val="center"/>
          </w:tcPr>
          <w:p>
            <w:pPr>
              <w:spacing w:after="0"/>
              <w:jc w:val="center"/>
            </w:pPr>
            <w:r>
              <w:rPr>
                <w:rFonts w:ascii="Calibri" w:cs="Calibri" w:eastAsia="Calibri" w:hAnsi="Calibri"/>
                <w:b w:val="false"/>
                <w:bCs w:val="false"/>
                <w:i w:val="false"/>
                <w:iCs w:val="false"/>
                <w:color w:val="4A5068"/>
                <w:sz w:val="20"/>
                <w:szCs w:val="20"/>
              </w:rPr>
              <w:t xml:space="preserve"/>
            </w:r>
          </w:p>
        </w:tc>
        <w:tc>
          <w:tcPr>
            <w:tcW w:type="dxa" w:w="1358"/>
            <w:tcMar>
              <w:top w:type="dxa" w:w="140"/>
              <w:left w:type="dxa" w:w="100"/>
              <w:bottom w:type="dxa" w:w="140"/>
              <w:right w:type="dxa" w:w="100"/>
            </w:tcMar>
            <w:vAlign w:val="center"/>
          </w:tcPr>
          <w:p>
            <w:pPr>
              <w:spacing w:after="0"/>
              <w:jc w:val="center"/>
            </w:pPr>
            <w:r>
              <w:rPr>
                <w:rFonts w:ascii="Calibri" w:cs="Calibri" w:eastAsia="Calibri" w:hAnsi="Calibri"/>
                <w:b w:val="false"/>
                <w:bCs w:val="false"/>
                <w:i w:val="false"/>
                <w:iCs w:val="false"/>
                <w:color w:val="4A5068"/>
                <w:sz w:val="20"/>
                <w:szCs w:val="20"/>
              </w:rPr>
              <w:t xml:space="preserve"/>
            </w:r>
          </w:p>
        </w:tc>
      </w:tr>
      <w:tr>
        <w:tc>
          <w:tcPr>
            <w:tcW w:type="dxa" w:w="3600"/>
            <w:tcMar>
              <w:top w:type="dxa" w:w="140"/>
              <w:left w:type="dxa" w:w="140"/>
              <w:bottom w:type="dxa" w:w="140"/>
              <w:right w:type="dxa" w:w="140"/>
            </w:tcMar>
            <w:vAlign w:val="center"/>
          </w:tcPr>
          <w:p>
            <w:pPr>
              <w:spacing w:after="0" w:line="250"/>
            </w:pPr>
            <w:r>
              <w:rPr>
                <w:rFonts w:ascii="Calibri" w:cs="Calibri" w:eastAsia="Calibri" w:hAnsi="Calibri"/>
                <w:b/>
                <w:bCs/>
                <w:i w:val="false"/>
                <w:iCs w:val="false"/>
                <w:color w:val="EE3465"/>
                <w:sz w:val="19"/>
                <w:szCs w:val="19"/>
              </w:rPr>
              <w:t xml:space="preserve">3.  </w:t>
            </w:r>
            <w:r>
              <w:rPr>
                <w:rFonts w:ascii="Calibri" w:cs="Calibri" w:eastAsia="Calibri" w:hAnsi="Calibri"/>
                <w:b w:val="false"/>
                <w:bCs w:val="false"/>
                <w:i w:val="false"/>
                <w:iCs w:val="false"/>
                <w:color w:val="111C3F"/>
                <w:sz w:val="19"/>
                <w:szCs w:val="19"/>
              </w:rPr>
              <w:t xml:space="preserve">Live campaign decision rights and speed</w:t>
            </w:r>
          </w:p>
        </w:tc>
        <w:tc>
          <w:tcPr>
            <w:tcW w:type="dxa" w:w="1356"/>
            <w:tcMar>
              <w:top w:type="dxa" w:w="140"/>
              <w:left w:type="dxa" w:w="100"/>
              <w:bottom w:type="dxa" w:w="140"/>
              <w:right w:type="dxa" w:w="100"/>
            </w:tcMar>
            <w:vAlign w:val="center"/>
          </w:tcPr>
          <w:p>
            <w:pPr>
              <w:spacing w:after="0"/>
              <w:jc w:val="center"/>
            </w:pPr>
            <w:r>
              <w:rPr>
                <w:rFonts w:ascii="Calibri" w:cs="Calibri" w:eastAsia="Calibri" w:hAnsi="Calibri"/>
                <w:b w:val="false"/>
                <w:bCs w:val="false"/>
                <w:i w:val="false"/>
                <w:iCs w:val="false"/>
                <w:color w:val="4A5068"/>
                <w:sz w:val="20"/>
                <w:szCs w:val="20"/>
              </w:rPr>
              <w:t xml:space="preserve"/>
            </w:r>
          </w:p>
        </w:tc>
        <w:tc>
          <w:tcPr>
            <w:tcW w:type="dxa" w:w="1356"/>
            <w:tcMar>
              <w:top w:type="dxa" w:w="140"/>
              <w:left w:type="dxa" w:w="100"/>
              <w:bottom w:type="dxa" w:w="140"/>
              <w:right w:type="dxa" w:w="100"/>
            </w:tcMar>
            <w:vAlign w:val="center"/>
          </w:tcPr>
          <w:p>
            <w:pPr>
              <w:spacing w:after="0"/>
              <w:jc w:val="center"/>
            </w:pPr>
            <w:r>
              <w:rPr>
                <w:rFonts w:ascii="Calibri" w:cs="Calibri" w:eastAsia="Calibri" w:hAnsi="Calibri"/>
                <w:b w:val="false"/>
                <w:bCs w:val="false"/>
                <w:i w:val="false"/>
                <w:iCs w:val="false"/>
                <w:color w:val="4A5068"/>
                <w:sz w:val="20"/>
                <w:szCs w:val="20"/>
              </w:rPr>
              <w:t xml:space="preserve"/>
            </w:r>
          </w:p>
        </w:tc>
        <w:tc>
          <w:tcPr>
            <w:tcW w:type="dxa" w:w="1356"/>
            <w:tcMar>
              <w:top w:type="dxa" w:w="140"/>
              <w:left w:type="dxa" w:w="100"/>
              <w:bottom w:type="dxa" w:w="140"/>
              <w:right w:type="dxa" w:w="100"/>
            </w:tcMar>
            <w:vAlign w:val="center"/>
          </w:tcPr>
          <w:p>
            <w:pPr>
              <w:spacing w:after="0"/>
              <w:jc w:val="center"/>
            </w:pPr>
            <w:r>
              <w:rPr>
                <w:rFonts w:ascii="Calibri" w:cs="Calibri" w:eastAsia="Calibri" w:hAnsi="Calibri"/>
                <w:b w:val="false"/>
                <w:bCs w:val="false"/>
                <w:i w:val="false"/>
                <w:iCs w:val="false"/>
                <w:color w:val="4A5068"/>
                <w:sz w:val="20"/>
                <w:szCs w:val="20"/>
              </w:rPr>
              <w:t xml:space="preserve"/>
            </w:r>
          </w:p>
        </w:tc>
        <w:tc>
          <w:tcPr>
            <w:tcW w:type="dxa" w:w="1358"/>
            <w:tcMar>
              <w:top w:type="dxa" w:w="140"/>
              <w:left w:type="dxa" w:w="100"/>
              <w:bottom w:type="dxa" w:w="140"/>
              <w:right w:type="dxa" w:w="100"/>
            </w:tcMar>
            <w:vAlign w:val="center"/>
          </w:tcPr>
          <w:p>
            <w:pPr>
              <w:spacing w:after="0"/>
              <w:jc w:val="center"/>
            </w:pPr>
            <w:r>
              <w:rPr>
                <w:rFonts w:ascii="Calibri" w:cs="Calibri" w:eastAsia="Calibri" w:hAnsi="Calibri"/>
                <w:b w:val="false"/>
                <w:bCs w:val="false"/>
                <w:i w:val="false"/>
                <w:iCs w:val="false"/>
                <w:color w:val="4A5068"/>
                <w:sz w:val="20"/>
                <w:szCs w:val="20"/>
              </w:rPr>
              <w:t xml:space="preserve"/>
            </w:r>
          </w:p>
        </w:tc>
      </w:tr>
      <w:tr>
        <w:tc>
          <w:tcPr>
            <w:tcW w:type="dxa" w:w="3600"/>
            <w:tcMar>
              <w:top w:type="dxa" w:w="140"/>
              <w:left w:type="dxa" w:w="140"/>
              <w:bottom w:type="dxa" w:w="140"/>
              <w:right w:type="dxa" w:w="140"/>
            </w:tcMar>
            <w:vAlign w:val="center"/>
          </w:tcPr>
          <w:p>
            <w:pPr>
              <w:spacing w:after="0" w:line="250"/>
            </w:pPr>
            <w:r>
              <w:rPr>
                <w:rFonts w:ascii="Calibri" w:cs="Calibri" w:eastAsia="Calibri" w:hAnsi="Calibri"/>
                <w:b/>
                <w:bCs/>
                <w:i w:val="false"/>
                <w:iCs w:val="false"/>
                <w:color w:val="EE3465"/>
                <w:sz w:val="19"/>
                <w:szCs w:val="19"/>
              </w:rPr>
              <w:t xml:space="preserve">4.  </w:t>
            </w:r>
            <w:r>
              <w:rPr>
                <w:rFonts w:ascii="Calibri" w:cs="Calibri" w:eastAsia="Calibri" w:hAnsi="Calibri"/>
                <w:b w:val="false"/>
                <w:bCs w:val="false"/>
                <w:i w:val="false"/>
                <w:iCs w:val="false"/>
                <w:color w:val="111C3F"/>
                <w:sz w:val="19"/>
                <w:szCs w:val="19"/>
              </w:rPr>
              <w:t xml:space="preserve">Evidence that live data changed a plan</w:t>
            </w:r>
          </w:p>
        </w:tc>
        <w:tc>
          <w:tcPr>
            <w:tcW w:type="dxa" w:w="1356"/>
            <w:tcMar>
              <w:top w:type="dxa" w:w="140"/>
              <w:left w:type="dxa" w:w="100"/>
              <w:bottom w:type="dxa" w:w="140"/>
              <w:right w:type="dxa" w:w="100"/>
            </w:tcMar>
            <w:vAlign w:val="center"/>
          </w:tcPr>
          <w:p>
            <w:pPr>
              <w:spacing w:after="0"/>
              <w:jc w:val="center"/>
            </w:pPr>
            <w:r>
              <w:rPr>
                <w:rFonts w:ascii="Calibri" w:cs="Calibri" w:eastAsia="Calibri" w:hAnsi="Calibri"/>
                <w:b w:val="false"/>
                <w:bCs w:val="false"/>
                <w:i w:val="false"/>
                <w:iCs w:val="false"/>
                <w:color w:val="4A5068"/>
                <w:sz w:val="20"/>
                <w:szCs w:val="20"/>
              </w:rPr>
              <w:t xml:space="preserve"/>
            </w:r>
          </w:p>
        </w:tc>
        <w:tc>
          <w:tcPr>
            <w:tcW w:type="dxa" w:w="1356"/>
            <w:tcMar>
              <w:top w:type="dxa" w:w="140"/>
              <w:left w:type="dxa" w:w="100"/>
              <w:bottom w:type="dxa" w:w="140"/>
              <w:right w:type="dxa" w:w="100"/>
            </w:tcMar>
            <w:vAlign w:val="center"/>
          </w:tcPr>
          <w:p>
            <w:pPr>
              <w:spacing w:after="0"/>
              <w:jc w:val="center"/>
            </w:pPr>
            <w:r>
              <w:rPr>
                <w:rFonts w:ascii="Calibri" w:cs="Calibri" w:eastAsia="Calibri" w:hAnsi="Calibri"/>
                <w:b w:val="false"/>
                <w:bCs w:val="false"/>
                <w:i w:val="false"/>
                <w:iCs w:val="false"/>
                <w:color w:val="4A5068"/>
                <w:sz w:val="20"/>
                <w:szCs w:val="20"/>
              </w:rPr>
              <w:t xml:space="preserve"/>
            </w:r>
          </w:p>
        </w:tc>
        <w:tc>
          <w:tcPr>
            <w:tcW w:type="dxa" w:w="1356"/>
            <w:tcMar>
              <w:top w:type="dxa" w:w="140"/>
              <w:left w:type="dxa" w:w="100"/>
              <w:bottom w:type="dxa" w:w="140"/>
              <w:right w:type="dxa" w:w="100"/>
            </w:tcMar>
            <w:vAlign w:val="center"/>
          </w:tcPr>
          <w:p>
            <w:pPr>
              <w:spacing w:after="0"/>
              <w:jc w:val="center"/>
            </w:pPr>
            <w:r>
              <w:rPr>
                <w:rFonts w:ascii="Calibri" w:cs="Calibri" w:eastAsia="Calibri" w:hAnsi="Calibri"/>
                <w:b w:val="false"/>
                <w:bCs w:val="false"/>
                <w:i w:val="false"/>
                <w:iCs w:val="false"/>
                <w:color w:val="4A5068"/>
                <w:sz w:val="20"/>
                <w:szCs w:val="20"/>
              </w:rPr>
              <w:t xml:space="preserve"/>
            </w:r>
          </w:p>
        </w:tc>
        <w:tc>
          <w:tcPr>
            <w:tcW w:type="dxa" w:w="1358"/>
            <w:tcMar>
              <w:top w:type="dxa" w:w="140"/>
              <w:left w:type="dxa" w:w="100"/>
              <w:bottom w:type="dxa" w:w="140"/>
              <w:right w:type="dxa" w:w="100"/>
            </w:tcMar>
            <w:vAlign w:val="center"/>
          </w:tcPr>
          <w:p>
            <w:pPr>
              <w:spacing w:after="0"/>
              <w:jc w:val="center"/>
            </w:pPr>
            <w:r>
              <w:rPr>
                <w:rFonts w:ascii="Calibri" w:cs="Calibri" w:eastAsia="Calibri" w:hAnsi="Calibri"/>
                <w:b w:val="false"/>
                <w:bCs w:val="false"/>
                <w:i w:val="false"/>
                <w:iCs w:val="false"/>
                <w:color w:val="4A5068"/>
                <w:sz w:val="20"/>
                <w:szCs w:val="20"/>
              </w:rPr>
              <w:t xml:space="preserve"/>
            </w:r>
          </w:p>
        </w:tc>
      </w:tr>
      <w:tr>
        <w:tc>
          <w:tcPr>
            <w:tcW w:type="dxa" w:w="3600"/>
            <w:tcMar>
              <w:top w:type="dxa" w:w="140"/>
              <w:left w:type="dxa" w:w="140"/>
              <w:bottom w:type="dxa" w:w="140"/>
              <w:right w:type="dxa" w:w="140"/>
            </w:tcMar>
            <w:vAlign w:val="center"/>
          </w:tcPr>
          <w:p>
            <w:pPr>
              <w:spacing w:after="0" w:line="250"/>
            </w:pPr>
            <w:r>
              <w:rPr>
                <w:rFonts w:ascii="Calibri" w:cs="Calibri" w:eastAsia="Calibri" w:hAnsi="Calibri"/>
                <w:b/>
                <w:bCs/>
                <w:i w:val="false"/>
                <w:iCs w:val="false"/>
                <w:color w:val="EE3465"/>
                <w:sz w:val="19"/>
                <w:szCs w:val="19"/>
              </w:rPr>
              <w:t xml:space="preserve">5.  </w:t>
            </w:r>
            <w:r>
              <w:rPr>
                <w:rFonts w:ascii="Calibri" w:cs="Calibri" w:eastAsia="Calibri" w:hAnsi="Calibri"/>
                <w:b w:val="false"/>
                <w:bCs w:val="false"/>
                <w:i w:val="false"/>
                <w:iCs w:val="false"/>
                <w:color w:val="111C3F"/>
                <w:sz w:val="19"/>
                <w:szCs w:val="19"/>
              </w:rPr>
              <w:t xml:space="preserve">Between-report monitoring cadence</w:t>
            </w:r>
          </w:p>
        </w:tc>
        <w:tc>
          <w:tcPr>
            <w:tcW w:type="dxa" w:w="1356"/>
            <w:tcMar>
              <w:top w:type="dxa" w:w="140"/>
              <w:left w:type="dxa" w:w="100"/>
              <w:bottom w:type="dxa" w:w="140"/>
              <w:right w:type="dxa" w:w="100"/>
            </w:tcMar>
            <w:vAlign w:val="center"/>
          </w:tcPr>
          <w:p>
            <w:pPr>
              <w:spacing w:after="0"/>
              <w:jc w:val="center"/>
            </w:pPr>
            <w:r>
              <w:rPr>
                <w:rFonts w:ascii="Calibri" w:cs="Calibri" w:eastAsia="Calibri" w:hAnsi="Calibri"/>
                <w:b w:val="false"/>
                <w:bCs w:val="false"/>
                <w:i w:val="false"/>
                <w:iCs w:val="false"/>
                <w:color w:val="4A5068"/>
                <w:sz w:val="20"/>
                <w:szCs w:val="20"/>
              </w:rPr>
              <w:t xml:space="preserve"/>
            </w:r>
          </w:p>
        </w:tc>
        <w:tc>
          <w:tcPr>
            <w:tcW w:type="dxa" w:w="1356"/>
            <w:tcMar>
              <w:top w:type="dxa" w:w="140"/>
              <w:left w:type="dxa" w:w="100"/>
              <w:bottom w:type="dxa" w:w="140"/>
              <w:right w:type="dxa" w:w="100"/>
            </w:tcMar>
            <w:vAlign w:val="center"/>
          </w:tcPr>
          <w:p>
            <w:pPr>
              <w:spacing w:after="0"/>
              <w:jc w:val="center"/>
            </w:pPr>
            <w:r>
              <w:rPr>
                <w:rFonts w:ascii="Calibri" w:cs="Calibri" w:eastAsia="Calibri" w:hAnsi="Calibri"/>
                <w:b w:val="false"/>
                <w:bCs w:val="false"/>
                <w:i w:val="false"/>
                <w:iCs w:val="false"/>
                <w:color w:val="4A5068"/>
                <w:sz w:val="20"/>
                <w:szCs w:val="20"/>
              </w:rPr>
              <w:t xml:space="preserve"/>
            </w:r>
          </w:p>
        </w:tc>
        <w:tc>
          <w:tcPr>
            <w:tcW w:type="dxa" w:w="1356"/>
            <w:tcMar>
              <w:top w:type="dxa" w:w="140"/>
              <w:left w:type="dxa" w:w="100"/>
              <w:bottom w:type="dxa" w:w="140"/>
              <w:right w:type="dxa" w:w="100"/>
            </w:tcMar>
            <w:vAlign w:val="center"/>
          </w:tcPr>
          <w:p>
            <w:pPr>
              <w:spacing w:after="0"/>
              <w:jc w:val="center"/>
            </w:pPr>
            <w:r>
              <w:rPr>
                <w:rFonts w:ascii="Calibri" w:cs="Calibri" w:eastAsia="Calibri" w:hAnsi="Calibri"/>
                <w:b w:val="false"/>
                <w:bCs w:val="false"/>
                <w:i w:val="false"/>
                <w:iCs w:val="false"/>
                <w:color w:val="4A5068"/>
                <w:sz w:val="20"/>
                <w:szCs w:val="20"/>
              </w:rPr>
              <w:t xml:space="preserve"/>
            </w:r>
          </w:p>
        </w:tc>
        <w:tc>
          <w:tcPr>
            <w:tcW w:type="dxa" w:w="1358"/>
            <w:tcMar>
              <w:top w:type="dxa" w:w="140"/>
              <w:left w:type="dxa" w:w="100"/>
              <w:bottom w:type="dxa" w:w="140"/>
              <w:right w:type="dxa" w:w="100"/>
            </w:tcMar>
            <w:vAlign w:val="center"/>
          </w:tcPr>
          <w:p>
            <w:pPr>
              <w:spacing w:after="0"/>
              <w:jc w:val="center"/>
            </w:pPr>
            <w:r>
              <w:rPr>
                <w:rFonts w:ascii="Calibri" w:cs="Calibri" w:eastAsia="Calibri" w:hAnsi="Calibri"/>
                <w:b w:val="false"/>
                <w:bCs w:val="false"/>
                <w:i w:val="false"/>
                <w:iCs w:val="false"/>
                <w:color w:val="4A5068"/>
                <w:sz w:val="20"/>
                <w:szCs w:val="20"/>
              </w:rPr>
              <w:t xml:space="preserve"/>
            </w:r>
          </w:p>
        </w:tc>
      </w:tr>
      <w:tr>
        <w:tc>
          <w:tcPr>
            <w:tcW w:type="dxa" w:w="3600"/>
            <w:tcMar>
              <w:top w:type="dxa" w:w="140"/>
              <w:left w:type="dxa" w:w="140"/>
              <w:bottom w:type="dxa" w:w="140"/>
              <w:right w:type="dxa" w:w="140"/>
            </w:tcMar>
            <w:vAlign w:val="center"/>
          </w:tcPr>
          <w:p>
            <w:pPr>
              <w:spacing w:after="0" w:line="250"/>
            </w:pPr>
            <w:r>
              <w:rPr>
                <w:rFonts w:ascii="Calibri" w:cs="Calibri" w:eastAsia="Calibri" w:hAnsi="Calibri"/>
                <w:b/>
                <w:bCs/>
                <w:i w:val="false"/>
                <w:iCs w:val="false"/>
                <w:color w:val="EE3465"/>
                <w:sz w:val="19"/>
                <w:szCs w:val="19"/>
              </w:rPr>
              <w:t xml:space="preserve">6.  </w:t>
            </w:r>
            <w:r>
              <w:rPr>
                <w:rFonts w:ascii="Calibri" w:cs="Calibri" w:eastAsia="Calibri" w:hAnsi="Calibri"/>
                <w:b w:val="false"/>
                <w:bCs w:val="false"/>
                <w:i w:val="false"/>
                <w:iCs w:val="false"/>
                <w:color w:val="111C3F"/>
                <w:sz w:val="19"/>
                <w:szCs w:val="19"/>
              </w:rPr>
              <w:t xml:space="preserve">Willingness to challenge an approved plan</w:t>
            </w:r>
          </w:p>
        </w:tc>
        <w:tc>
          <w:tcPr>
            <w:tcW w:type="dxa" w:w="1356"/>
            <w:tcMar>
              <w:top w:type="dxa" w:w="140"/>
              <w:left w:type="dxa" w:w="100"/>
              <w:bottom w:type="dxa" w:w="140"/>
              <w:right w:type="dxa" w:w="100"/>
            </w:tcMar>
            <w:vAlign w:val="center"/>
          </w:tcPr>
          <w:p>
            <w:pPr>
              <w:spacing w:after="0"/>
              <w:jc w:val="center"/>
            </w:pPr>
            <w:r>
              <w:rPr>
                <w:rFonts w:ascii="Calibri" w:cs="Calibri" w:eastAsia="Calibri" w:hAnsi="Calibri"/>
                <w:b w:val="false"/>
                <w:bCs w:val="false"/>
                <w:i w:val="false"/>
                <w:iCs w:val="false"/>
                <w:color w:val="4A5068"/>
                <w:sz w:val="20"/>
                <w:szCs w:val="20"/>
              </w:rPr>
              <w:t xml:space="preserve"/>
            </w:r>
          </w:p>
        </w:tc>
        <w:tc>
          <w:tcPr>
            <w:tcW w:type="dxa" w:w="1356"/>
            <w:tcMar>
              <w:top w:type="dxa" w:w="140"/>
              <w:left w:type="dxa" w:w="100"/>
              <w:bottom w:type="dxa" w:w="140"/>
              <w:right w:type="dxa" w:w="100"/>
            </w:tcMar>
            <w:vAlign w:val="center"/>
          </w:tcPr>
          <w:p>
            <w:pPr>
              <w:spacing w:after="0"/>
              <w:jc w:val="center"/>
            </w:pPr>
            <w:r>
              <w:rPr>
                <w:rFonts w:ascii="Calibri" w:cs="Calibri" w:eastAsia="Calibri" w:hAnsi="Calibri"/>
                <w:b w:val="false"/>
                <w:bCs w:val="false"/>
                <w:i w:val="false"/>
                <w:iCs w:val="false"/>
                <w:color w:val="4A5068"/>
                <w:sz w:val="20"/>
                <w:szCs w:val="20"/>
              </w:rPr>
              <w:t xml:space="preserve"/>
            </w:r>
          </w:p>
        </w:tc>
        <w:tc>
          <w:tcPr>
            <w:tcW w:type="dxa" w:w="1356"/>
            <w:tcMar>
              <w:top w:type="dxa" w:w="140"/>
              <w:left w:type="dxa" w:w="100"/>
              <w:bottom w:type="dxa" w:w="140"/>
              <w:right w:type="dxa" w:w="100"/>
            </w:tcMar>
            <w:vAlign w:val="center"/>
          </w:tcPr>
          <w:p>
            <w:pPr>
              <w:spacing w:after="0"/>
              <w:jc w:val="center"/>
            </w:pPr>
            <w:r>
              <w:rPr>
                <w:rFonts w:ascii="Calibri" w:cs="Calibri" w:eastAsia="Calibri" w:hAnsi="Calibri"/>
                <w:b w:val="false"/>
                <w:bCs w:val="false"/>
                <w:i w:val="false"/>
                <w:iCs w:val="false"/>
                <w:color w:val="4A5068"/>
                <w:sz w:val="20"/>
                <w:szCs w:val="20"/>
              </w:rPr>
              <w:t xml:space="preserve"/>
            </w:r>
          </w:p>
        </w:tc>
        <w:tc>
          <w:tcPr>
            <w:tcW w:type="dxa" w:w="1358"/>
            <w:tcMar>
              <w:top w:type="dxa" w:w="140"/>
              <w:left w:type="dxa" w:w="100"/>
              <w:bottom w:type="dxa" w:w="140"/>
              <w:right w:type="dxa" w:w="100"/>
            </w:tcMar>
            <w:vAlign w:val="center"/>
          </w:tcPr>
          <w:p>
            <w:pPr>
              <w:spacing w:after="0"/>
              <w:jc w:val="center"/>
            </w:pPr>
            <w:r>
              <w:rPr>
                <w:rFonts w:ascii="Calibri" w:cs="Calibri" w:eastAsia="Calibri" w:hAnsi="Calibri"/>
                <w:b w:val="false"/>
                <w:bCs w:val="false"/>
                <w:i w:val="false"/>
                <w:iCs w:val="false"/>
                <w:color w:val="4A5068"/>
                <w:sz w:val="20"/>
                <w:szCs w:val="20"/>
              </w:rPr>
              <w:t xml:space="preserve"/>
            </w:r>
          </w:p>
        </w:tc>
      </w:tr>
      <w:tr>
        <w:tc>
          <w:tcPr>
            <w:tcW w:type="dxa" w:w="3600"/>
            <w:shd w:fill="FDECF1" w:color="auto" w:val="clear"/>
            <w:tcMar>
              <w:top w:type="dxa" w:w="150"/>
              <w:left w:type="dxa" w:w="140"/>
              <w:bottom w:type="dxa" w:w="150"/>
              <w:right w:type="dxa" w:w="140"/>
            </w:tcMar>
          </w:tcPr>
          <w:p>
            <w:pPr>
              <w:spacing w:after="0"/>
            </w:pPr>
            <w:r>
              <w:rPr>
                <w:rFonts w:ascii="Calibri" w:cs="Calibri" w:eastAsia="Calibri" w:hAnsi="Calibri"/>
                <w:b/>
                <w:bCs/>
                <w:i w:val="false"/>
                <w:iCs w:val="false"/>
                <w:color w:val="EE3465"/>
                <w:sz w:val="19"/>
                <w:szCs w:val="19"/>
              </w:rPr>
              <w:t xml:space="preserve">TOTAL  /18</w:t>
            </w:r>
          </w:p>
        </w:tc>
        <w:tc>
          <w:tcPr>
            <w:tcW w:type="dxa" w:w="1356"/>
            <w:shd w:fill="FDECF1" w:color="auto" w:val="clear"/>
            <w:tcMar>
              <w:top w:type="dxa" w:w="150"/>
              <w:left w:type="dxa" w:w="100"/>
              <w:bottom w:type="dxa" w:w="150"/>
              <w:right w:type="dxa" w:w="100"/>
            </w:tcMar>
          </w:tcPr>
          <w:p>
            <w:pPr>
              <w:spacing w:after="0"/>
              <w:jc w:val="center"/>
            </w:pPr>
            <w:r>
              <w:rPr>
                <w:rFonts w:ascii="Calibri" w:cs="Calibri" w:eastAsia="Calibri" w:hAnsi="Calibri"/>
                <w:b w:val="false"/>
                <w:bCs w:val="false"/>
                <w:i w:val="false"/>
                <w:iCs w:val="false"/>
                <w:color w:val="4A5068"/>
                <w:sz w:val="20"/>
                <w:szCs w:val="20"/>
              </w:rPr>
              <w:t xml:space="preserve"/>
            </w:r>
          </w:p>
        </w:tc>
        <w:tc>
          <w:tcPr>
            <w:tcW w:type="dxa" w:w="1356"/>
            <w:shd w:fill="FDECF1" w:color="auto" w:val="clear"/>
            <w:tcMar>
              <w:top w:type="dxa" w:w="150"/>
              <w:left w:type="dxa" w:w="100"/>
              <w:bottom w:type="dxa" w:w="150"/>
              <w:right w:type="dxa" w:w="100"/>
            </w:tcMar>
          </w:tcPr>
          <w:p>
            <w:pPr>
              <w:spacing w:after="0"/>
              <w:jc w:val="center"/>
            </w:pPr>
            <w:r>
              <w:rPr>
                <w:rFonts w:ascii="Calibri" w:cs="Calibri" w:eastAsia="Calibri" w:hAnsi="Calibri"/>
                <w:b w:val="false"/>
                <w:bCs w:val="false"/>
                <w:i w:val="false"/>
                <w:iCs w:val="false"/>
                <w:color w:val="4A5068"/>
                <w:sz w:val="20"/>
                <w:szCs w:val="20"/>
              </w:rPr>
              <w:t xml:space="preserve"/>
            </w:r>
          </w:p>
        </w:tc>
        <w:tc>
          <w:tcPr>
            <w:tcW w:type="dxa" w:w="1356"/>
            <w:shd w:fill="FDECF1" w:color="auto" w:val="clear"/>
            <w:tcMar>
              <w:top w:type="dxa" w:w="150"/>
              <w:left w:type="dxa" w:w="100"/>
              <w:bottom w:type="dxa" w:w="150"/>
              <w:right w:type="dxa" w:w="100"/>
            </w:tcMar>
          </w:tcPr>
          <w:p>
            <w:pPr>
              <w:spacing w:after="0"/>
              <w:jc w:val="center"/>
            </w:pPr>
            <w:r>
              <w:rPr>
                <w:rFonts w:ascii="Calibri" w:cs="Calibri" w:eastAsia="Calibri" w:hAnsi="Calibri"/>
                <w:b w:val="false"/>
                <w:bCs w:val="false"/>
                <w:i w:val="false"/>
                <w:iCs w:val="false"/>
                <w:color w:val="4A5068"/>
                <w:sz w:val="20"/>
                <w:szCs w:val="20"/>
              </w:rPr>
              <w:t xml:space="preserve"/>
            </w:r>
          </w:p>
        </w:tc>
        <w:tc>
          <w:tcPr>
            <w:tcW w:type="dxa" w:w="1358"/>
            <w:shd w:fill="FDECF1" w:color="auto" w:val="clear"/>
            <w:tcMar>
              <w:top w:type="dxa" w:w="150"/>
              <w:left w:type="dxa" w:w="100"/>
              <w:bottom w:type="dxa" w:w="150"/>
              <w:right w:type="dxa" w:w="100"/>
            </w:tcMar>
          </w:tcPr>
          <w:p>
            <w:pPr>
              <w:spacing w:after="0"/>
              <w:jc w:val="center"/>
            </w:pPr>
            <w:r>
              <w:rPr>
                <w:rFonts w:ascii="Calibri" w:cs="Calibri" w:eastAsia="Calibri" w:hAnsi="Calibri"/>
                <w:b w:val="false"/>
                <w:bCs w:val="false"/>
                <w:i w:val="false"/>
                <w:iCs w:val="false"/>
                <w:color w:val="4A5068"/>
                <w:sz w:val="20"/>
                <w:szCs w:val="20"/>
              </w:rPr>
              <w:t xml:space="preserve"/>
            </w:r>
          </w:p>
        </w:tc>
      </w:tr>
    </w:tbl>
    <w:p>
      <w:pPr>
        <w:spacing w:after="80" w:before="180"/>
      </w:pPr>
      <w:r>
        <w:rPr>
          <w:rFonts w:ascii="Calibri" w:cs="Calibri" w:eastAsia="Calibri" w:hAnsi="Calibri"/>
          <w:b/>
          <w:bCs/>
          <w:i w:val="false"/>
          <w:iCs w:val="false"/>
          <w:color w:val="EE3465"/>
          <w:sz w:val="16"/>
          <w:szCs w:val="16"/>
        </w:rPr>
        <w:t xml:space="preserve">DISQUALIFIERS — CHECK BEFORE COMPARING TOTALS</w:t>
      </w:r>
    </w:p>
    <w:p>
      <w:pPr>
        <w:pStyle w:val="ListParagraph"/>
        <w:numPr>
          <w:ilvl w:val="0"/>
          <w:numId w:val="2"/>
        </w:numPr>
        <w:spacing w:after="90" w:line="264"/>
      </w:pPr>
      <w:r>
        <w:rPr>
          <w:rFonts w:ascii="Calibri" w:cs="Calibri" w:eastAsia="Calibri" w:hAnsi="Calibri"/>
          <w:b w:val="false"/>
          <w:bCs w:val="false"/>
          <w:i w:val="false"/>
          <w:iCs w:val="false"/>
          <w:color w:val="4A5068"/>
          <w:sz w:val="20"/>
          <w:szCs w:val="20"/>
        </w:rPr>
        <w:t xml:space="preserve">Undisclosed commercial interest in a recommended creator, discovered rather than volunteered.</w:t>
      </w:r>
    </w:p>
    <w:p>
      <w:pPr>
        <w:pStyle w:val="ListParagraph"/>
        <w:numPr>
          <w:ilvl w:val="0"/>
          <w:numId w:val="2"/>
        </w:numPr>
        <w:spacing w:after="90" w:line="264"/>
      </w:pPr>
      <w:r>
        <w:rPr>
          <w:rFonts w:ascii="Calibri" w:cs="Calibri" w:eastAsia="Calibri" w:hAnsi="Calibri"/>
          <w:b w:val="false"/>
          <w:bCs w:val="false"/>
          <w:i w:val="false"/>
          <w:iCs w:val="false"/>
          <w:color w:val="4A5068"/>
          <w:sz w:val="20"/>
          <w:szCs w:val="20"/>
        </w:rPr>
        <w:t xml:space="preserve">No named individual with authority to pull live content out of hours.</w:t>
      </w:r>
    </w:p>
    <w:p>
      <w:pPr>
        <w:pStyle w:val="ListParagraph"/>
        <w:numPr>
          <w:ilvl w:val="0"/>
          <w:numId w:val="2"/>
        </w:numPr>
        <w:spacing w:after="90" w:line="264"/>
      </w:pPr>
      <w:r>
        <w:rPr>
          <w:rFonts w:ascii="Calibri" w:cs="Calibri" w:eastAsia="Calibri" w:hAnsi="Calibri"/>
          <w:b w:val="false"/>
          <w:bCs w:val="false"/>
          <w:i w:val="false"/>
          <w:iCs w:val="false"/>
          <w:color w:val="4A5068"/>
          <w:sz w:val="20"/>
          <w:szCs w:val="20"/>
        </w:rPr>
        <w:t xml:space="preserve">No example of a mid-flight change while budget remained unspent.</w:t>
      </w:r>
    </w:p>
    <w:p>
      <w:pPr>
        <w:pStyle w:val="ListParagraph"/>
        <w:numPr>
          <w:ilvl w:val="0"/>
          <w:numId w:val="2"/>
        </w:numPr>
        <w:spacing w:after="90" w:line="264"/>
      </w:pPr>
      <w:r>
        <w:rPr>
          <w:rFonts w:ascii="Calibri" w:cs="Calibri" w:eastAsia="Calibri" w:hAnsi="Calibri"/>
          <w:b w:val="false"/>
          <w:bCs w:val="false"/>
          <w:i w:val="false"/>
          <w:iCs w:val="false"/>
          <w:color w:val="4A5068"/>
          <w:sz w:val="20"/>
          <w:szCs w:val="20"/>
        </w:rPr>
        <w:t xml:space="preserve">Pitch team cannot name the delivery team.</w:t>
      </w:r>
    </w:p>
    <w:p>
      <w:pPr>
        <w:pStyle w:val="ListParagraph"/>
        <w:numPr>
          <w:ilvl w:val="0"/>
          <w:numId w:val="2"/>
        </w:numPr>
        <w:spacing w:after="90" w:line="264"/>
      </w:pPr>
      <w:r>
        <w:rPr>
          <w:rFonts w:ascii="Calibri" w:cs="Calibri" w:eastAsia="Calibri" w:hAnsi="Calibri"/>
          <w:b w:val="false"/>
          <w:bCs w:val="false"/>
          <w:i w:val="false"/>
          <w:iCs w:val="false"/>
          <w:color w:val="4A5068"/>
          <w:sz w:val="20"/>
          <w:szCs w:val="20"/>
        </w:rPr>
        <w:t xml:space="preserve">Refusal to put any stated benchmark into the contract.</w:t>
      </w:r>
    </w:p>
    <w:p>
      <w:pPr>
        <w:spacing w:after="120" w:before="100" w:line="264"/>
      </w:pPr>
      <w:r>
        <w:rPr>
          <w:rFonts w:ascii="Calibri" w:cs="Calibri" w:eastAsia="Calibri" w:hAnsi="Calibri"/>
          <w:b w:val="false"/>
          <w:bCs w:val="false"/>
          <w:i/>
          <w:iCs/>
          <w:color w:val="4A5068"/>
          <w:sz w:val="19"/>
          <w:szCs w:val="19"/>
        </w:rPr>
        <w:t xml:space="preserve">Any one of these should stop an award regardless of total score. They are not weaknesses to negotiate down — they are the specific failures that surface as crises once a campaign is live.</w:t>
      </w:r>
    </w:p>
    <w:p>
      <w:r>
        <w:br w:type="page"/>
      </w:r>
    </w:p>
    <w:p>
      <w:pPr>
        <w:spacing w:after="120" w:line="400"/>
      </w:pPr>
      <w:r>
        <w:rPr>
          <w:rFonts w:ascii="Calibri" w:cs="Calibri" w:eastAsia="Calibri" w:hAnsi="Calibri"/>
          <w:b/>
          <w:bCs/>
          <w:i w:val="false"/>
          <w:iCs w:val="false"/>
          <w:color w:val="111C3F"/>
          <w:sz w:val="34"/>
          <w:szCs w:val="34"/>
        </w:rPr>
        <w:t xml:space="preserve">Carry These Into the Contract</w:t>
      </w:r>
    </w:p>
    <w:p>
      <w:pPr>
        <w:pBdr>
          <w:bottom w:val="single" w:color="EE3465" w:sz="10"/>
        </w:pBdr>
        <w:spacing w:after="200"/>
      </w:pPr>
      <w:r>
        <w:rPr>
          <w:rFonts w:ascii="Calibri" w:cs="Calibri" w:eastAsia="Calibri" w:hAnsi="Calibri"/>
          <w:b w:val="false"/>
          <w:bCs w:val="false"/>
          <w:i w:val="false"/>
          <w:iCs w:val="false"/>
          <w:color w:val="4A5068"/>
          <w:sz w:val="2"/>
          <w:szCs w:val="2"/>
        </w:rPr>
        <w:t xml:space="preserve"/>
      </w:r>
    </w:p>
    <w:p>
      <w:pPr>
        <w:spacing w:after="200" w:before="0" w:line="264"/>
      </w:pPr>
      <w:r>
        <w:rPr>
          <w:rFonts w:ascii="Calibri" w:cs="Calibri" w:eastAsia="Calibri" w:hAnsi="Calibri"/>
          <w:b w:val="false"/>
          <w:bCs w:val="false"/>
          <w:i w:val="false"/>
          <w:iCs w:val="false"/>
          <w:color w:val="4A5068"/>
          <w:sz w:val="20"/>
          <w:szCs w:val="20"/>
        </w:rPr>
        <w:t xml:space="preserve">A good answer in a pitch is a statement of intent. A clause in the SOW is an obligation that survives a change of account team — which is where most of these commitments quietly disappear. Convert the answers you scored well into written terms.</w:t>
      </w:r>
    </w:p>
    <w:tbl>
      <w:tblPr>
        <w:tblW w:type="dxa" w:w="9026"/>
        <w:tblBorders>
          <w:top w:val="none" w:color="FFFFFF" w:sz="0"/>
          <w:left w:val="none" w:color="FFFFFF" w:sz="0"/>
          <w:bottom w:val="none" w:color="FFFFFF" w:sz="0"/>
          <w:right w:val="none" w:color="FFFFFF" w:sz="0"/>
          <w:insideH w:val="single" w:color="DFE1E8" w:sz="4"/>
          <w:insideV w:val="none" w:color="FFFFFF" w:sz="0"/>
        </w:tblBorders>
      </w:tblPr>
      <w:tblGrid>
        <w:gridCol w:w="2200"/>
        <w:gridCol w:w="6826"/>
      </w:tblGrid>
      <w:tr>
        <w:tc>
          <w:tcPr>
            <w:tcW w:type="dxa" w:w="2200"/>
            <w:tcMar>
              <w:top w:type="dxa" w:w="140"/>
              <w:left w:type="dxa" w:w="0"/>
              <w:bottom w:type="dxa" w:w="140"/>
              <w:right w:type="dxa" w:w="180"/>
            </w:tcMar>
          </w:tcPr>
          <w:p>
            <w:pPr>
              <w:spacing w:after="0" w:line="250"/>
            </w:pPr>
            <w:r>
              <w:rPr>
                <w:rFonts w:ascii="Calibri" w:cs="Calibri" w:eastAsia="Calibri" w:hAnsi="Calibri"/>
                <w:b/>
                <w:bCs/>
                <w:i w:val="false"/>
                <w:iCs w:val="false"/>
                <w:color w:val="EE3465"/>
                <w:sz w:val="19"/>
                <w:szCs w:val="19"/>
              </w:rPr>
              <w:t xml:space="preserve">Disclosure</w:t>
            </w:r>
          </w:p>
        </w:tc>
        <w:tc>
          <w:tcPr>
            <w:tcW w:type="dxa" w:w="6826"/>
            <w:tcMar>
              <w:top w:type="dxa" w:w="140"/>
              <w:left w:type="dxa" w:w="0"/>
              <w:bottom w:type="dxa" w:w="140"/>
              <w:right w:type="dxa" w:w="0"/>
            </w:tcMar>
          </w:tcPr>
          <w:p>
            <w:pPr>
              <w:spacing w:after="0" w:line="250"/>
            </w:pPr>
            <w:r>
              <w:rPr>
                <w:rFonts w:ascii="Calibri" w:cs="Calibri" w:eastAsia="Calibri" w:hAnsi="Calibri"/>
                <w:b w:val="false"/>
                <w:bCs w:val="false"/>
                <w:i w:val="false"/>
                <w:iCs w:val="false"/>
                <w:color w:val="4A5068"/>
                <w:sz w:val="19"/>
                <w:szCs w:val="19"/>
              </w:rPr>
              <w:t xml:space="preserve">Written disclosure of any creator-side revenue, representation, or commercial interest attached to every shortlist submitted.</w:t>
            </w:r>
          </w:p>
        </w:tc>
      </w:tr>
      <w:tr>
        <w:tc>
          <w:tcPr>
            <w:tcW w:type="dxa" w:w="2200"/>
            <w:tcMar>
              <w:top w:type="dxa" w:w="140"/>
              <w:left w:type="dxa" w:w="0"/>
              <w:bottom w:type="dxa" w:w="140"/>
              <w:right w:type="dxa" w:w="180"/>
            </w:tcMar>
          </w:tcPr>
          <w:p>
            <w:pPr>
              <w:spacing w:after="0" w:line="250"/>
            </w:pPr>
            <w:r>
              <w:rPr>
                <w:rFonts w:ascii="Calibri" w:cs="Calibri" w:eastAsia="Calibri" w:hAnsi="Calibri"/>
                <w:b/>
                <w:bCs/>
                <w:i w:val="false"/>
                <w:iCs w:val="false"/>
                <w:color w:val="EE3465"/>
                <w:sz w:val="19"/>
                <w:szCs w:val="19"/>
              </w:rPr>
              <w:t xml:space="preserve">Fee structure</w:t>
            </w:r>
          </w:p>
        </w:tc>
        <w:tc>
          <w:tcPr>
            <w:tcW w:type="dxa" w:w="6826"/>
            <w:tcMar>
              <w:top w:type="dxa" w:w="140"/>
              <w:left w:type="dxa" w:w="0"/>
              <w:bottom w:type="dxa" w:w="140"/>
              <w:right w:type="dxa" w:w="0"/>
            </w:tcMar>
          </w:tcPr>
          <w:p>
            <w:pPr>
              <w:spacing w:after="0" w:line="250"/>
            </w:pPr>
            <w:r>
              <w:rPr>
                <w:rFonts w:ascii="Calibri" w:cs="Calibri" w:eastAsia="Calibri" w:hAnsi="Calibri"/>
                <w:b w:val="false"/>
                <w:bCs w:val="false"/>
                <w:i w:val="false"/>
                <w:iCs w:val="false"/>
                <w:color w:val="4A5068"/>
                <w:sz w:val="19"/>
                <w:szCs w:val="19"/>
              </w:rPr>
              <w:t xml:space="preserve">Creator costs passed through at net with a separate stated agency fee, or a disclosed fixed markup percentage. Audit rights above an agreed spend threshold.</w:t>
            </w:r>
          </w:p>
        </w:tc>
      </w:tr>
      <w:tr>
        <w:tc>
          <w:tcPr>
            <w:tcW w:type="dxa" w:w="2200"/>
            <w:tcMar>
              <w:top w:type="dxa" w:w="140"/>
              <w:left w:type="dxa" w:w="0"/>
              <w:bottom w:type="dxa" w:w="140"/>
              <w:right w:type="dxa" w:w="180"/>
            </w:tcMar>
          </w:tcPr>
          <w:p>
            <w:pPr>
              <w:spacing w:after="0" w:line="250"/>
            </w:pPr>
            <w:r>
              <w:rPr>
                <w:rFonts w:ascii="Calibri" w:cs="Calibri" w:eastAsia="Calibri" w:hAnsi="Calibri"/>
                <w:b/>
                <w:bCs/>
                <w:i w:val="false"/>
                <w:iCs w:val="false"/>
                <w:color w:val="EE3465"/>
                <w:sz w:val="19"/>
                <w:szCs w:val="19"/>
              </w:rPr>
              <w:t xml:space="preserve">Shortlist standard</w:t>
            </w:r>
          </w:p>
        </w:tc>
        <w:tc>
          <w:tcPr>
            <w:tcW w:type="dxa" w:w="6826"/>
            <w:tcMar>
              <w:top w:type="dxa" w:w="140"/>
              <w:left w:type="dxa" w:w="0"/>
              <w:bottom w:type="dxa" w:w="140"/>
              <w:right w:type="dxa" w:w="0"/>
            </w:tcMar>
          </w:tcPr>
          <w:p>
            <w:pPr>
              <w:spacing w:after="0" w:line="250"/>
            </w:pPr>
            <w:r>
              <w:rPr>
                <w:rFonts w:ascii="Calibri" w:cs="Calibri" w:eastAsia="Calibri" w:hAnsi="Calibri"/>
                <w:b w:val="false"/>
                <w:bCs w:val="false"/>
                <w:i w:val="false"/>
                <w:iCs w:val="false"/>
                <w:color w:val="4A5068"/>
                <w:sz w:val="19"/>
                <w:szCs w:val="19"/>
              </w:rPr>
              <w:t xml:space="preserve">A minimum number of viable options per slot, each scored against the agreed evaluation dimensions, with rejected candidates and reasons available on request.</w:t>
            </w:r>
          </w:p>
        </w:tc>
      </w:tr>
      <w:tr>
        <w:tc>
          <w:tcPr>
            <w:tcW w:type="dxa" w:w="2200"/>
            <w:tcMar>
              <w:top w:type="dxa" w:w="140"/>
              <w:left w:type="dxa" w:w="0"/>
              <w:bottom w:type="dxa" w:w="140"/>
              <w:right w:type="dxa" w:w="180"/>
            </w:tcMar>
          </w:tcPr>
          <w:p>
            <w:pPr>
              <w:spacing w:after="0" w:line="250"/>
            </w:pPr>
            <w:r>
              <w:rPr>
                <w:rFonts w:ascii="Calibri" w:cs="Calibri" w:eastAsia="Calibri" w:hAnsi="Calibri"/>
                <w:b/>
                <w:bCs/>
                <w:i w:val="false"/>
                <w:iCs w:val="false"/>
                <w:color w:val="EE3465"/>
                <w:sz w:val="19"/>
                <w:szCs w:val="19"/>
              </w:rPr>
              <w:t xml:space="preserve">Audience verification</w:t>
            </w:r>
          </w:p>
        </w:tc>
        <w:tc>
          <w:tcPr>
            <w:tcW w:type="dxa" w:w="6826"/>
            <w:tcMar>
              <w:top w:type="dxa" w:w="140"/>
              <w:left w:type="dxa" w:w="0"/>
              <w:bottom w:type="dxa" w:w="140"/>
              <w:right w:type="dxa" w:w="0"/>
            </w:tcMar>
          </w:tcPr>
          <w:p>
            <w:pPr>
              <w:spacing w:after="0" w:line="250"/>
            </w:pPr>
            <w:r>
              <w:rPr>
                <w:rFonts w:ascii="Calibri" w:cs="Calibri" w:eastAsia="Calibri" w:hAnsi="Calibri"/>
                <w:b w:val="false"/>
                <w:bCs w:val="false"/>
                <w:i w:val="false"/>
                <w:iCs w:val="false"/>
                <w:color w:val="4A5068"/>
                <w:sz w:val="19"/>
                <w:szCs w:val="19"/>
              </w:rPr>
              <w:t xml:space="preserve">In-market audience share and suspicious-follower share reported per creator before approval.</w:t>
            </w:r>
          </w:p>
        </w:tc>
      </w:tr>
      <w:tr>
        <w:tc>
          <w:tcPr>
            <w:tcW w:type="dxa" w:w="2200"/>
            <w:tcMar>
              <w:top w:type="dxa" w:w="140"/>
              <w:left w:type="dxa" w:w="0"/>
              <w:bottom w:type="dxa" w:w="140"/>
              <w:right w:type="dxa" w:w="180"/>
            </w:tcMar>
          </w:tcPr>
          <w:p>
            <w:pPr>
              <w:spacing w:after="0" w:line="250"/>
            </w:pPr>
            <w:r>
              <w:rPr>
                <w:rFonts w:ascii="Calibri" w:cs="Calibri" w:eastAsia="Calibri" w:hAnsi="Calibri"/>
                <w:b/>
                <w:bCs/>
                <w:i w:val="false"/>
                <w:iCs w:val="false"/>
                <w:color w:val="EE3465"/>
                <w:sz w:val="19"/>
                <w:szCs w:val="19"/>
              </w:rPr>
              <w:t xml:space="preserve">Decision rights</w:t>
            </w:r>
          </w:p>
        </w:tc>
        <w:tc>
          <w:tcPr>
            <w:tcW w:type="dxa" w:w="6826"/>
            <w:tcMar>
              <w:top w:type="dxa" w:w="140"/>
              <w:left w:type="dxa" w:w="0"/>
              <w:bottom w:type="dxa" w:w="140"/>
              <w:right w:type="dxa" w:w="0"/>
            </w:tcMar>
          </w:tcPr>
          <w:p>
            <w:pPr>
              <w:spacing w:after="0" w:line="250"/>
            </w:pPr>
            <w:r>
              <w:rPr>
                <w:rFonts w:ascii="Calibri" w:cs="Calibri" w:eastAsia="Calibri" w:hAnsi="Calibri"/>
                <w:b w:val="false"/>
                <w:bCs w:val="false"/>
                <w:i w:val="false"/>
                <w:iCs w:val="false"/>
                <w:color w:val="4A5068"/>
                <w:sz w:val="19"/>
                <w:szCs w:val="19"/>
              </w:rPr>
              <w:t xml:space="preserve">A signed decision-rights table covering strategy, creator selection, creative approval, budget, measurement, brand safety, and optimisation.</w:t>
            </w:r>
          </w:p>
        </w:tc>
      </w:tr>
      <w:tr>
        <w:tc>
          <w:tcPr>
            <w:tcW w:type="dxa" w:w="2200"/>
            <w:tcMar>
              <w:top w:type="dxa" w:w="140"/>
              <w:left w:type="dxa" w:w="0"/>
              <w:bottom w:type="dxa" w:w="140"/>
              <w:right w:type="dxa" w:w="180"/>
            </w:tcMar>
          </w:tcPr>
          <w:p>
            <w:pPr>
              <w:spacing w:after="0" w:line="250"/>
            </w:pPr>
            <w:r>
              <w:rPr>
                <w:rFonts w:ascii="Calibri" w:cs="Calibri" w:eastAsia="Calibri" w:hAnsi="Calibri"/>
                <w:b/>
                <w:bCs/>
                <w:i w:val="false"/>
                <w:iCs w:val="false"/>
                <w:color w:val="EE3465"/>
                <w:sz w:val="19"/>
                <w:szCs w:val="19"/>
              </w:rPr>
              <w:t xml:space="preserve">Brand safety SLA</w:t>
            </w:r>
          </w:p>
        </w:tc>
        <w:tc>
          <w:tcPr>
            <w:tcW w:type="dxa" w:w="6826"/>
            <w:tcMar>
              <w:top w:type="dxa" w:w="140"/>
              <w:left w:type="dxa" w:w="0"/>
              <w:bottom w:type="dxa" w:w="140"/>
              <w:right w:type="dxa" w:w="0"/>
            </w:tcMar>
          </w:tcPr>
          <w:p>
            <w:pPr>
              <w:spacing w:after="0" w:line="250"/>
            </w:pPr>
            <w:r>
              <w:rPr>
                <w:rFonts w:ascii="Calibri" w:cs="Calibri" w:eastAsia="Calibri" w:hAnsi="Calibri"/>
                <w:b w:val="false"/>
                <w:bCs w:val="false"/>
                <w:i w:val="false"/>
                <w:iCs w:val="false"/>
                <w:color w:val="4A5068"/>
                <w:sz w:val="19"/>
                <w:szCs w:val="19"/>
              </w:rPr>
              <w:t xml:space="preserve">Acknowledgement within one hour and action within four, around the clock, with named primary and backup contacts per priority market.</w:t>
            </w:r>
          </w:p>
        </w:tc>
      </w:tr>
      <w:tr>
        <w:tc>
          <w:tcPr>
            <w:tcW w:type="dxa" w:w="2200"/>
            <w:tcMar>
              <w:top w:type="dxa" w:w="140"/>
              <w:left w:type="dxa" w:w="0"/>
              <w:bottom w:type="dxa" w:w="140"/>
              <w:right w:type="dxa" w:w="180"/>
            </w:tcMar>
          </w:tcPr>
          <w:p>
            <w:pPr>
              <w:spacing w:after="0" w:line="250"/>
            </w:pPr>
            <w:r>
              <w:rPr>
                <w:rFonts w:ascii="Calibri" w:cs="Calibri" w:eastAsia="Calibri" w:hAnsi="Calibri"/>
                <w:b/>
                <w:bCs/>
                <w:i w:val="false"/>
                <w:iCs w:val="false"/>
                <w:color w:val="EE3465"/>
                <w:sz w:val="19"/>
                <w:szCs w:val="19"/>
              </w:rPr>
              <w:t xml:space="preserve">Optimisation SLA</w:t>
            </w:r>
          </w:p>
        </w:tc>
        <w:tc>
          <w:tcPr>
            <w:tcW w:type="dxa" w:w="6826"/>
            <w:tcMar>
              <w:top w:type="dxa" w:w="140"/>
              <w:left w:type="dxa" w:w="0"/>
              <w:bottom w:type="dxa" w:w="140"/>
              <w:right w:type="dxa" w:w="0"/>
            </w:tcMar>
          </w:tcPr>
          <w:p>
            <w:pPr>
              <w:spacing w:after="0" w:line="250"/>
            </w:pPr>
            <w:r>
              <w:rPr>
                <w:rFonts w:ascii="Calibri" w:cs="Calibri" w:eastAsia="Calibri" w:hAnsi="Calibri"/>
                <w:b w:val="false"/>
                <w:bCs w:val="false"/>
                <w:i w:val="false"/>
                <w:iCs w:val="false"/>
                <w:color w:val="4A5068"/>
                <w:sz w:val="19"/>
                <w:szCs w:val="19"/>
              </w:rPr>
              <w:t xml:space="preserve">Performance signal to decision within 48 hours; approved change live within five working days.</w:t>
            </w:r>
          </w:p>
        </w:tc>
      </w:tr>
      <w:tr>
        <w:tc>
          <w:tcPr>
            <w:tcW w:type="dxa" w:w="2200"/>
            <w:tcMar>
              <w:top w:type="dxa" w:w="140"/>
              <w:left w:type="dxa" w:w="0"/>
              <w:bottom w:type="dxa" w:w="140"/>
              <w:right w:type="dxa" w:w="180"/>
            </w:tcMar>
          </w:tcPr>
          <w:p>
            <w:pPr>
              <w:spacing w:after="0" w:line="250"/>
            </w:pPr>
            <w:r>
              <w:rPr>
                <w:rFonts w:ascii="Calibri" w:cs="Calibri" w:eastAsia="Calibri" w:hAnsi="Calibri"/>
                <w:b/>
                <w:bCs/>
                <w:i w:val="false"/>
                <w:iCs w:val="false"/>
                <w:color w:val="EE3465"/>
                <w:sz w:val="19"/>
                <w:szCs w:val="19"/>
              </w:rPr>
              <w:t xml:space="preserve">Delegated authority</w:t>
            </w:r>
          </w:p>
        </w:tc>
        <w:tc>
          <w:tcPr>
            <w:tcW w:type="dxa" w:w="6826"/>
            <w:tcMar>
              <w:top w:type="dxa" w:w="140"/>
              <w:left w:type="dxa" w:w="0"/>
              <w:bottom w:type="dxa" w:w="140"/>
              <w:right w:type="dxa" w:w="0"/>
            </w:tcMar>
          </w:tcPr>
          <w:p>
            <w:pPr>
              <w:spacing w:after="0" w:line="250"/>
            </w:pPr>
            <w:r>
              <w:rPr>
                <w:rFonts w:ascii="Calibri" w:cs="Calibri" w:eastAsia="Calibri" w:hAnsi="Calibri"/>
                <w:b w:val="false"/>
                <w:bCs w:val="false"/>
                <w:i w:val="false"/>
                <w:iCs w:val="false"/>
                <w:color w:val="4A5068"/>
                <w:sz w:val="19"/>
                <w:szCs w:val="19"/>
              </w:rPr>
              <w:t xml:space="preserve">A defined share of any approved line item reallocable without fresh client sign-off, with the threshold stated numerically.</w:t>
            </w:r>
          </w:p>
        </w:tc>
      </w:tr>
      <w:tr>
        <w:tc>
          <w:tcPr>
            <w:tcW w:type="dxa" w:w="2200"/>
            <w:tcMar>
              <w:top w:type="dxa" w:w="140"/>
              <w:left w:type="dxa" w:w="0"/>
              <w:bottom w:type="dxa" w:w="140"/>
              <w:right w:type="dxa" w:w="180"/>
            </w:tcMar>
          </w:tcPr>
          <w:p>
            <w:pPr>
              <w:spacing w:after="0" w:line="250"/>
            </w:pPr>
            <w:r>
              <w:rPr>
                <w:rFonts w:ascii="Calibri" w:cs="Calibri" w:eastAsia="Calibri" w:hAnsi="Calibri"/>
                <w:b/>
                <w:bCs/>
                <w:i w:val="false"/>
                <w:iCs w:val="false"/>
                <w:color w:val="EE3465"/>
                <w:sz w:val="19"/>
                <w:szCs w:val="19"/>
              </w:rPr>
              <w:t xml:space="preserve">Monitoring</w:t>
            </w:r>
          </w:p>
        </w:tc>
        <w:tc>
          <w:tcPr>
            <w:tcW w:type="dxa" w:w="6826"/>
            <w:tcMar>
              <w:top w:type="dxa" w:w="140"/>
              <w:left w:type="dxa" w:w="0"/>
              <w:bottom w:type="dxa" w:w="140"/>
              <w:right w:type="dxa" w:w="0"/>
            </w:tcMar>
          </w:tcPr>
          <w:p>
            <w:pPr>
              <w:spacing w:after="0" w:line="250"/>
            </w:pPr>
            <w:r>
              <w:rPr>
                <w:rFonts w:ascii="Calibri" w:cs="Calibri" w:eastAsia="Calibri" w:hAnsi="Calibri"/>
                <w:b w:val="false"/>
                <w:bCs w:val="false"/>
                <w:i w:val="false"/>
                <w:iCs w:val="false"/>
                <w:color w:val="4A5068"/>
                <w:sz w:val="19"/>
                <w:szCs w:val="19"/>
              </w:rPr>
              <w:t xml:space="preserve">Written trigger thresholds, a first-48-hour review on every published asset, live dashboard access with stated maximum data latency, and a weekly written pulse during flight.</w:t>
            </w:r>
          </w:p>
        </w:tc>
      </w:tr>
      <w:tr>
        <w:tc>
          <w:tcPr>
            <w:tcW w:type="dxa" w:w="2200"/>
            <w:tcMar>
              <w:top w:type="dxa" w:w="140"/>
              <w:left w:type="dxa" w:w="0"/>
              <w:bottom w:type="dxa" w:w="140"/>
              <w:right w:type="dxa" w:w="180"/>
            </w:tcMar>
          </w:tcPr>
          <w:p>
            <w:pPr>
              <w:spacing w:after="0" w:line="250"/>
            </w:pPr>
            <w:r>
              <w:rPr>
                <w:rFonts w:ascii="Calibri" w:cs="Calibri" w:eastAsia="Calibri" w:hAnsi="Calibri"/>
                <w:b/>
                <w:bCs/>
                <w:i w:val="false"/>
                <w:iCs w:val="false"/>
                <w:color w:val="EE3465"/>
                <w:sz w:val="19"/>
                <w:szCs w:val="19"/>
              </w:rPr>
              <w:t xml:space="preserve">Proactive counsel</w:t>
            </w:r>
          </w:p>
        </w:tc>
        <w:tc>
          <w:tcPr>
            <w:tcW w:type="dxa" w:w="6826"/>
            <w:tcMar>
              <w:top w:type="dxa" w:w="140"/>
              <w:left w:type="dxa" w:w="0"/>
              <w:bottom w:type="dxa" w:w="140"/>
              <w:right w:type="dxa" w:w="0"/>
            </w:tcMar>
          </w:tcPr>
          <w:p>
            <w:pPr>
              <w:spacing w:after="0" w:line="250"/>
            </w:pPr>
            <w:r>
              <w:rPr>
                <w:rFonts w:ascii="Calibri" w:cs="Calibri" w:eastAsia="Calibri" w:hAnsi="Calibri"/>
                <w:b w:val="false"/>
                <w:bCs w:val="false"/>
                <w:i w:val="false"/>
                <w:iCs w:val="false"/>
                <w:color w:val="4A5068"/>
                <w:sz w:val="19"/>
                <w:szCs w:val="19"/>
              </w:rPr>
              <w:t xml:space="preserve">An obligation to flag material underperformance with a recommendation when identified, rather than at the next scheduled review.</w:t>
            </w:r>
          </w:p>
        </w:tc>
      </w:tr>
    </w:tbl>
    <w:p>
      <w:pPr>
        <w:spacing w:after="0" w:before="300"/>
      </w:pPr>
      <w:r>
        <w:rPr>
          <w:rFonts w:ascii="Calibri" w:cs="Calibri" w:eastAsia="Calibri" w:hAnsi="Calibri"/>
          <w:b w:val="false"/>
          <w:bCs w:val="false"/>
          <w:i w:val="false"/>
          <w:iCs w:val="false"/>
          <w:color w:val="4A5068"/>
          <w:sz w:val="2"/>
          <w:szCs w:val="2"/>
        </w:rPr>
        <w:t xml:space="preserve"/>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9026"/>
      </w:tblGrid>
      <w:tr>
        <w:tc>
          <w:tcPr>
            <w:tcW w:type="dxa" w:w="9026"/>
            <w:shd w:fill="FDECF1" w:color="auto" w:val="clear"/>
            <w:tcMar>
              <w:top w:type="dxa" w:w="200"/>
              <w:left w:type="dxa" w:w="240"/>
              <w:bottom w:type="dxa" w:w="200"/>
              <w:right w:type="dxa" w:w="240"/>
            </w:tcMar>
          </w:tcPr>
          <w:p>
            <w:pPr>
              <w:spacing w:after="100"/>
            </w:pPr>
            <w:r>
              <w:rPr>
                <w:rFonts w:ascii="Calibri" w:cs="Calibri" w:eastAsia="Calibri" w:hAnsi="Calibri"/>
                <w:b/>
                <w:bCs/>
                <w:i w:val="false"/>
                <w:iCs w:val="false"/>
                <w:color w:val="EE3465"/>
                <w:sz w:val="16"/>
                <w:szCs w:val="16"/>
              </w:rPr>
              <w:t xml:space="preserve">THE UNDERLYING TEST</w:t>
            </w:r>
          </w:p>
          <w:p>
            <w:pPr>
              <w:spacing w:after="0" w:line="280"/>
            </w:pPr>
            <w:r>
              <w:rPr>
                <w:rFonts w:ascii="Calibri" w:cs="Calibri" w:eastAsia="Calibri" w:hAnsi="Calibri"/>
                <w:b w:val="false"/>
                <w:bCs w:val="false"/>
                <w:i w:val="false"/>
                <w:iCs w:val="false"/>
                <w:color w:val="111C3F"/>
                <w:sz w:val="21"/>
                <w:szCs w:val="21"/>
              </w:rPr>
              <w:t xml:space="preserve">Every question here is a version of the same one: can this agency show you the working behind its recommendations? Access, relationships, and creative instinct all matter — but they are only worth buying when you can see the process that produced them, and hold it to a standard once the campaign is live.</w:t>
            </w:r>
          </w:p>
        </w:tc>
      </w:tr>
    </w:tbl>
    <w:sectPr>
      <w:footerReference w:type="default" r:id="rId7"/>
      <w:pgSz w:w="11906" w:h="16838" w:orient="portrait"/>
      <w:pgMar w:top="1440" w:right="1440" w:bottom="12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F9C9D6" w:sz="6"/>
      </w:pBdr>
      <w:tabs>
        <w:tab w:val="right" w:pos="9026"/>
      </w:tabs>
      <w:spacing w:after="0" w:before="120"/>
    </w:pPr>
    <w:r>
      <w:rPr>
        <w:rFonts w:ascii="Calibri" w:cs="Calibri" w:eastAsia="Calibri" w:hAnsi="Calibri"/>
        <w:b/>
        <w:bCs/>
        <w:i w:val="false"/>
        <w:iCs w:val="false"/>
        <w:color w:val="EE3465"/>
        <w:sz w:val="16"/>
        <w:szCs w:val="16"/>
      </w:rPr>
      <w:t xml:space="preserve">InfluencerMarketingHub.com</w:t>
    </w:r>
    <w:r>
      <w:rPr>
        <w:rFonts w:ascii="Calibri" w:cs="Calibri" w:eastAsia="Calibri" w:hAnsi="Calibri"/>
        <w:color w:val="4A5068"/>
        <w:sz w:val="16"/>
        <w:szCs w:val="16"/>
      </w:rPr>
      <w:t xml:space="preserve">	</w:t>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190"/>
      </w:pPr>
      <w:rPr>
        <w:color w:val="EE3465"/>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4A5068"/>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Questions to Add to the Agency Shortlist</dc:title>
  <dc:creator>Influencer Marketing Hub</dc:creator>
  <dc:description>A practical agency evaluation toolkit with probes, benchmarks, and scoring.</dc:description>
  <cp:lastModifiedBy>Un-named</cp:lastModifiedBy>
  <cp:revision>1</cp:revision>
  <dcterms:created xsi:type="dcterms:W3CDTF">2026-07-29T20:32:58.373Z</dcterms:created>
  <dcterms:modified xsi:type="dcterms:W3CDTF">2026-07-29T20:32:58.373Z</dcterms:modified>
</cp:coreProperties>
</file>

<file path=docProps/custom.xml><?xml version="1.0" encoding="utf-8"?>
<Properties xmlns="http://schemas.openxmlformats.org/officeDocument/2006/custom-properties" xmlns:vt="http://schemas.openxmlformats.org/officeDocument/2006/docPropsVTypes"/>
</file>